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2018年第四季度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投资管理报告（2018年12月31日）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浙江安吉农村商业银行股份有限公司“财赋安吉”理财产品截至2018年12月31日，本产品规模为</w:t>
      </w:r>
      <w:r>
        <w:rPr>
          <w:rFonts w:ascii="宋体" w:hAnsi="宋体"/>
          <w:color w:val="000000"/>
          <w:sz w:val="30"/>
          <w:szCs w:val="30"/>
        </w:rPr>
        <w:t>83594万</w:t>
      </w:r>
      <w:r>
        <w:rPr>
          <w:rFonts w:hint="eastAsia" w:ascii="宋体" w:hAnsi="宋体"/>
          <w:color w:val="000000"/>
          <w:sz w:val="30"/>
          <w:szCs w:val="30"/>
        </w:rPr>
        <w:t>元。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理财产品管理人：浙江安吉农村商业银行股份有限公司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根据产品说明书的约定，截至2018年12月31日，各期存续理财产品的起始到期日和业绩比较基基准如下：</w:t>
      </w:r>
    </w:p>
    <w:tbl>
      <w:tblPr>
        <w:tblStyle w:val="6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237"/>
        <w:gridCol w:w="1216"/>
        <w:gridCol w:w="1116"/>
        <w:gridCol w:w="96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产品名称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募集金额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成立日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到期日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天数</w:t>
            </w:r>
          </w:p>
        </w:tc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CFAJ2018043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1300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2018/3/28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364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CFAJ2018060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1500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2018/5/22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2019/5/22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365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CFAJ2018084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3102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2018/8/6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CFAJ2018087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2707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2018/8/15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145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2875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CFAJ2018095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1094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CFAJ2018096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1677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1246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CFAJ2018098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2950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CFAJ2018099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3943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2018/9/28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2832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2019/1/22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2158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2019/3/27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2569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2369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CFAJ2018105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3465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2019/1/28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CFAJ2018106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2253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2018/10/26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2019/4/9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CFAJ2018107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2782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2019/2/18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CFAJ2018109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1975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247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2932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2339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CFAJ2018112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3040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2019/5/15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177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1804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2018/11/22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2019/4/25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154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2760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2019/5/29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CFAJ2018115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1810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2019/4/2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CFAJ2018116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2253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2019/6/26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CFAJ2018117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3478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2019/4/17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CFAJ2018118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1655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2019/6/19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184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CFAJ2018119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1827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2019/4/23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CFAJ2018120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2205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2019/8/29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247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CFAJ2018121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6584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2019/5/6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129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CFAJ2018122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CFAJ2018123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2018/11/21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2019/3/8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CFAJKFS2018001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1750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2018/10/25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CFAJKFS2018003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2000 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2018/12/28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3.55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795"/>
        <w:gridCol w:w="2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1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金额（万元）</w:t>
            </w:r>
          </w:p>
        </w:tc>
        <w:tc>
          <w:tcPr>
            <w:tcW w:w="1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104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0.12%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7792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9.32%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固定收益类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0"/>
              </w:rPr>
              <w:t xml:space="preserve">75698 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90.55%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1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83594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7326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1911</Characters>
  <Lines>15</Lines>
  <Paragraphs>4</Paragraphs>
  <TotalTime>374</TotalTime>
  <ScaleCrop>false</ScaleCrop>
  <LinksUpToDate>false</LinksUpToDate>
  <CharactersWithSpaces>2242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2020-09-21T00:43:46Z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