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2019年第二季度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投资管理报告（2019年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业银行股份有限公司“财赋安吉”理财产品截至2019年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日，本产品规模为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70452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理财产品托管人：浙商银行股份有限公司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CFAJ2018109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2018/11/5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2019/7/10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CFAJ2018120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2018/12/25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CFAJ2019011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2019/1/23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2019/7/11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CFAJ2019014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2019/2/1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2019/7/24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CFAJ2019015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2019/2/11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2019/7/18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CFAJ2019016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2019/2/15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CFAJ2019018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2019/2/26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CFAJ2019019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2019/3/1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2019/7/16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CFAJ2019020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2019/3/5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2019/10/10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CFAJ2019022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2019/3/14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2019/9/11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CFAJ2019023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2019/3/18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2019/7/8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CFAJ2019026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2019/4/1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CFAJ2019027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2019/3/1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2019/10/30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CFAJ2019028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2642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2019/4/8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2019/9/18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CFAJ2019029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2019/4/11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2019/11/19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2019/4/16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2019/7/30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2019/4/22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2019/9/24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2019/4/26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2019/10/29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2019/4/30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1702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2019/5/6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2019/5/6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2019/5/10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CFAJ2019037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1388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2019/5/14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2019/8/12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1073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2019/5/15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CFAJ2019039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2572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2019/5/20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2019/9/26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1924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2019/5/27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2019/11/13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2098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2019/6/3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2019/9/25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2019/6/10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2019/12/13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2019/6/18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2019/12/27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2019/6/19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2019/9/25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CFAJ2019047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2019/6/24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2019/6/28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CFAJ2019049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2019/6/11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3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24.97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74.83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34BD2A0E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3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2020-09-21T00:45:01Z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