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富润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安吉”理财产品2020年第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富润</w:t>
      </w:r>
      <w:r>
        <w:rPr>
          <w:rFonts w:hint="eastAsia" w:ascii="宋体" w:hAnsi="宋体"/>
          <w:color w:val="000000"/>
          <w:sz w:val="28"/>
          <w:szCs w:val="28"/>
        </w:rPr>
        <w:t>安吉”理财产品截至20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37183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理财产品托管人：南京银行股份有限公司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62"/>
        <w:gridCol w:w="1413"/>
        <w:gridCol w:w="1458"/>
        <w:gridCol w:w="78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87.54%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  <w:bookmarkStart w:id="0" w:name="_GoBack"/>
            <w:bookmarkEnd w:id="0"/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03C6675"/>
    <w:rsid w:val="2215641E"/>
    <w:rsid w:val="29F57789"/>
    <w:rsid w:val="3BCA4724"/>
    <w:rsid w:val="3DC330C5"/>
    <w:rsid w:val="51621F9B"/>
    <w:rsid w:val="57B14E6E"/>
    <w:rsid w:val="5F9B1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25</TotalTime>
  <ScaleCrop>false</ScaleCrop>
  <LinksUpToDate>false</LinksUpToDate>
  <CharactersWithSpaces>1939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2021-03-24T03:27:35Z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