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安吉丰收喜悦月</w:t>
      </w:r>
      <w:bookmarkStart w:id="5" w:name="_GoBack"/>
      <w:r>
        <w:rPr>
          <w:rFonts w:hint="eastAsia" w:ascii="宋体" w:hAnsi="宋体"/>
          <w:b/>
          <w:bCs/>
          <w:sz w:val="48"/>
          <w:szCs w:val="30"/>
        </w:rPr>
        <w:t>月赢B定期开放净值型理财</w:t>
      </w:r>
      <w:bookmarkEnd w:id="5"/>
    </w:p>
    <w:p>
      <w:pPr>
        <w:jc w:val="center"/>
        <w:rPr>
          <w:rFonts w:ascii="宋体" w:hAnsi="宋体"/>
          <w:b/>
          <w:bCs/>
          <w:sz w:val="48"/>
          <w:szCs w:val="30"/>
        </w:rPr>
      </w:pPr>
      <w:r>
        <w:rPr>
          <w:rFonts w:ascii="宋体" w:hAnsi="宋体"/>
          <w:b/>
          <w:bCs/>
          <w:sz w:val="48"/>
          <w:szCs w:val="30"/>
        </w:rPr>
        <w:t>2023年半年度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产品管理人：浙江安吉农村商业银行股份有限公司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自2023-04-01起至2023-06-30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安吉丰收喜悦月月赢B定期开放净值型理财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C3209721000121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浙江安吉农村商业银行股份有限公司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2021-12-22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2031-10-14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44,392,000.00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[3.3%-4%]/年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2023-04-01</w:t>
            </w:r>
            <w:r>
              <w:rPr>
                <w:rFonts w:hint="eastAsia" w:ascii="宋体" w:hAnsi="宋体"/>
              </w:rPr>
              <w:t>至</w:t>
            </w:r>
            <w:r>
              <w:rPr>
                <w:rFonts w:ascii="宋体" w:hAnsi="宋体"/>
              </w:rPr>
              <w:t>2023-06-30</w:t>
            </w:r>
            <w:r>
              <w:rPr>
                <w:rFonts w:hint="eastAsia" w:ascii="宋体" w:hAnsi="宋体"/>
              </w:rPr>
              <w:t>）</w:t>
            </w:r>
          </w:p>
        </w:tc>
        <w:tc>
          <w:tcPr>
            <w:tcW w:w="5103" w:type="dxa"/>
            <w:vAlign w:val="center"/>
          </w:tcPr>
          <w:p>
            <w:pPr>
              <w:jc w:val="right"/>
            </w:pPr>
            <w:r>
              <w:t>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5.28</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2023-04-01</w:t>
            </w:r>
            <w:r>
              <w:rPr>
                <w:rFonts w:hint="eastAsia"/>
                <w:b/>
              </w:rPr>
              <w:t xml:space="preserve">至 </w:t>
            </w:r>
            <w:r>
              <w:rPr>
                <w:b/>
              </w:rPr>
              <w:t>2023-06-30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160,537.81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278,547.61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44,502,199.43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1.0025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17,314,055.29</w:t>
            </w:r>
          </w:p>
        </w:tc>
        <w:tc>
          <w:tcPr>
            <w:tcW w:w="1705" w:type="dxa"/>
            <w:vAlign w:val="center"/>
          </w:tcPr>
          <w:p>
            <w:pPr>
              <w:jc w:val="right"/>
            </w:pPr>
            <w:r>
              <w:t>38.89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10,308,624.26</w:t>
            </w:r>
          </w:p>
        </w:tc>
        <w:tc>
          <w:tcPr>
            <w:tcW w:w="1705" w:type="dxa"/>
            <w:vAlign w:val="center"/>
          </w:tcPr>
          <w:p>
            <w:pPr>
              <w:jc w:val="right"/>
            </w:pPr>
            <w:r>
              <w:t>23.16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10,308,624.26</w:t>
            </w:r>
          </w:p>
        </w:tc>
        <w:tc>
          <w:tcPr>
            <w:tcW w:w="1705" w:type="dxa"/>
            <w:vAlign w:val="center"/>
          </w:tcPr>
          <w:p>
            <w:pPr>
              <w:jc w:val="right"/>
            </w:pPr>
            <w:r>
              <w:t>23.16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16,369,061.44</w:t>
            </w:r>
          </w:p>
        </w:tc>
        <w:tc>
          <w:tcPr>
            <w:tcW w:w="1705" w:type="dxa"/>
            <w:vAlign w:val="center"/>
          </w:tcPr>
          <w:p>
            <w:pPr>
              <w:jc w:val="right"/>
            </w:pPr>
            <w:r>
              <w:t>36.77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557,499.44</w:t>
            </w:r>
          </w:p>
        </w:tc>
        <w:tc>
          <w:tcPr>
            <w:tcW w:w="1705" w:type="dxa"/>
            <w:vAlign w:val="center"/>
          </w:tcPr>
          <w:p>
            <w:pPr>
              <w:jc w:val="right"/>
            </w:pPr>
            <w: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44,516,297.60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679.63</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44,516,297.60</w:t>
            </w:r>
          </w:p>
        </w:tc>
        <w:tc>
          <w:tcPr>
            <w:tcW w:w="1749" w:type="dxa"/>
            <w:shd w:val="clear" w:color="auto" w:fill="auto"/>
          </w:tcPr>
          <w:p>
            <w:pPr>
              <w:jc w:val="right"/>
            </w:pPr>
            <w:r>
              <w:t>100.00</w:t>
            </w:r>
          </w:p>
        </w:tc>
        <w:tc>
          <w:tcPr>
            <w:tcW w:w="1653" w:type="dxa"/>
          </w:tcPr>
          <w:p>
            <w:pPr>
              <w:jc w:val="right"/>
            </w:pPr>
            <w:r>
              <w:t>44,549,920.05</w:t>
            </w:r>
          </w:p>
        </w:tc>
        <w:tc>
          <w:tcPr>
            <w:tcW w:w="1705" w:type="dxa"/>
          </w:tcPr>
          <w:p>
            <w:pPr>
              <w:jc w:val="right"/>
            </w:pPr>
            <w:r>
              <w:t>100.08</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firstLine="420" w:firstLineChars="200"/>
        <w:rPr>
          <w:rFonts w:asciiTheme="minorEastAsia" w:hAnsiTheme="minorEastAsia" w:eastAsiaTheme="minorEastAsia"/>
          <w:sz w:val="24"/>
        </w:rPr>
      </w:pPr>
      <w:r>
        <w:rPr>
          <w:rFonts w:hint="eastAsia" w:ascii="宋体" w:hAnsi="宋体"/>
        </w:rPr>
        <w:t>本产品属于开放式固收类，主要通过大类资产配置思路，将本理财产品采用安全性、流动性优先的投资策略，在资产配置中以较大比例配置投资级别的债券、回购、存放同业等资产，通过组合管理实现稳健收益。同时管理人将综合运用回购等各类流动性管理工具，进行主动流动性管理，尽可能降低产品流动性风险，有效保障产品持有人利益。产品管理人对产品开放期申购赎回情况进行严密监控并预测流动性需求，保持投资组合中的可用现金头寸与之相匹配，以防范无法及时支付赎回款而产生的流动性风险。本产品管理人在产品合同中设计了巨额赎回条款，约定在非常情况下赎回申请的处理方式，控制因开放申购赎回模式带来的流动性风险。</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财通证券资管月月赢2号集合资产管理计划</w:t>
            </w:r>
          </w:p>
        </w:tc>
        <w:tc>
          <w:tcPr>
            <w:tcW w:w="2693" w:type="dxa"/>
            <w:shd w:val="clear" w:color="auto" w:fill="auto"/>
            <w:vAlign w:val="center"/>
          </w:tcPr>
          <w:p>
            <w:pPr>
              <w:jc w:val="right"/>
            </w:pPr>
            <w:r>
              <w:t>44,516,297.60</w:t>
            </w:r>
          </w:p>
        </w:tc>
        <w:tc>
          <w:tcPr>
            <w:tcW w:w="2431" w:type="dxa"/>
            <w:shd w:val="clear" w:color="auto" w:fill="auto"/>
            <w:vAlign w:val="center"/>
          </w:tcPr>
          <w:p>
            <w:pPr>
              <w:jc w:val="right"/>
            </w:pPr>
            <w:bookmarkStart w:id="3" w:name="OLE_LINK5"/>
            <w:bookmarkStart w:id="4" w:name="OLE_LINK6"/>
            <w:r>
              <w:t>100.03</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Layout w:type="autofit"/>
        <w:tblCellMar>
          <w:top w:w="0" w:type="dxa"/>
          <w:left w:w="0" w:type="dxa"/>
          <w:bottom w:w="0" w:type="dxa"/>
          <w:right w:w="0" w:type="dxa"/>
        </w:tblCellMar>
      </w:tblPr>
      <w:tblGrid>
        <w:gridCol w:w="777"/>
        <w:gridCol w:w="3159"/>
        <w:gridCol w:w="2693"/>
        <w:gridCol w:w="2431"/>
      </w:tblGrid>
      <w:tr>
        <w:tblPrEx>
          <w:tblCellMar>
            <w:top w:w="0" w:type="dxa"/>
            <w:left w:w="0" w:type="dxa"/>
            <w:bottom w:w="0" w:type="dxa"/>
            <w:right w:w="0" w:type="dxa"/>
          </w:tblCellMar>
        </w:tblPrEx>
        <w:trPr>
          <w:trHeight w:val="744" w:hRule="atLeast"/>
          <w:jc w:val="center"/>
        </w:trPr>
        <w:tc>
          <w:tcPr>
            <w:tcW w:w="77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3159"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693"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43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GC007</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8,682,763.63</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19.51</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万家货币B</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3,152,933.76</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7.08</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渤海汇金汇添金B</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2,661,352.41</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5.98</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东证融汇添添益中短债A</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2,302,068.88</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5.17</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建信短债F</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2,298,826.81</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5.17</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东兴兴利C</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1,394,714.49</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3.13</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23腾海投资PPN001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1,391,718.90</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3.13</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广发景明中短债A</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1,375,492.76</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3.09</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债券质押协议回购51607</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1,040,729.07</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2.34</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20沣东控股PPN001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944,635.35</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2.12</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浙江安吉农村商业银行股份有限公司</w:t>
      </w:r>
    </w:p>
    <w:p>
      <w:pPr>
        <w:jc w:val="right"/>
        <w:rPr>
          <w:rFonts w:ascii="宋体" w:hAnsi="宋体"/>
          <w:sz w:val="28"/>
          <w:szCs w:val="28"/>
        </w:rPr>
      </w:pPr>
      <w:r>
        <w:rPr>
          <w:rFonts w:ascii="宋体" w:hAnsi="宋体"/>
          <w:sz w:val="28"/>
          <w:szCs w:val="28"/>
        </w:rPr>
        <w:t>2023-07-15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I1N2U0NGIxNTAyNDY2OTU0NzIzNmU3NDIzNjY2OTAifQ=="/>
  </w:docVars>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1C7177C6"/>
    <w:rsid w:val="6077191F"/>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1495</Words>
  <Characters>2093</Characters>
  <Lines>14</Lines>
  <Paragraphs>4</Paragraphs>
  <TotalTime>0</TotalTime>
  <ScaleCrop>false</ScaleCrop>
  <LinksUpToDate>false</LinksUpToDate>
  <CharactersWithSpaces>2146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WPS_1683341474</cp:lastModifiedBy>
  <cp:lastPrinted>2411-12-31T16:00:00Z</cp:lastPrinted>
  <dcterms:modified xsi:type="dcterms:W3CDTF">2023-08-10T08:37:12Z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E1B16207D8FA44369C95D7063EDA5D51_12</vt:lpwstr>
  </property>
</Properties>
</file>