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rPr>
          <w:sz w:val="48"/>
        </w:rPr>
      </w:pPr>
    </w:p>
    <w:p>
      <w:pPr>
        <w:rPr>
          <w:sz w:val="48"/>
        </w:rPr>
      </w:pPr>
    </w:p>
    <w:p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hint="eastAsia" w:ascii="宋体" w:hAnsi="宋体"/>
          <w:b/>
          <w:bCs/>
          <w:sz w:val="48"/>
          <w:szCs w:val="30"/>
        </w:rPr>
        <w:t>安吉农商银行安芯2023年第52期封闭净值型理财产品</w:t>
      </w:r>
    </w:p>
    <w:p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ascii="宋体" w:hAnsi="宋体"/>
          <w:b/>
          <w:bCs/>
          <w:sz w:val="48"/>
          <w:szCs w:val="30"/>
        </w:rPr>
        <w:t>2024年第1季度</w:t>
      </w:r>
      <w:r>
        <w:rPr>
          <w:rFonts w:hint="eastAsia" w:ascii="宋体" w:hAnsi="宋体"/>
          <w:b/>
          <w:bCs/>
          <w:sz w:val="48"/>
          <w:szCs w:val="30"/>
        </w:rPr>
        <w:t>报告</w:t>
      </w:r>
    </w:p>
    <w:p>
      <w:pPr>
        <w:jc w:val="center"/>
        <w:rPr>
          <w:rFonts w:ascii="宋体" w:hAnsi="宋体"/>
          <w:b/>
          <w:bCs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ind w:firstLine="1687" w:firstLineChars="600"/>
        <w:jc w:val="left"/>
        <w:rPr>
          <w:rFonts w:ascii="宋体" w:hAnsi="宋体"/>
          <w:b/>
          <w:bCs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>产品管理人：浙江安吉农村商业银行股份有限公司</w:t>
      </w:r>
    </w:p>
    <w:p>
      <w:pPr>
        <w:ind w:firstLine="1687" w:firstLineChars="600"/>
        <w:jc w:val="left"/>
        <w:rPr>
          <w:rFonts w:ascii="宋体" w:hAnsi="宋体"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>产品托管人：</w:t>
      </w:r>
      <w:r>
        <w:rPr>
          <w:rFonts w:hint="eastAsia" w:ascii="宋体" w:hAnsi="宋体"/>
          <w:b/>
          <w:bCs/>
          <w:sz w:val="28"/>
          <w:szCs w:val="30"/>
        </w:rPr>
        <w:t>招商银行股份有限公司杭州分行</w:t>
      </w:r>
    </w:p>
    <w:p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>
      <w:pPr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b/>
          <w:bCs/>
          <w:sz w:val="28"/>
          <w:szCs w:val="30"/>
        </w:rPr>
      </w:pPr>
    </w:p>
    <w:p>
      <w:pPr>
        <w:jc w:val="center"/>
        <w:rPr>
          <w:rFonts w:ascii="宋体" w:hAnsi="宋体"/>
          <w:b/>
          <w:bCs/>
          <w:sz w:val="28"/>
          <w:szCs w:val="30"/>
        </w:rPr>
      </w:pPr>
      <w:r>
        <w:rPr>
          <w:rFonts w:hint="eastAsia" w:ascii="宋体" w:hAnsi="宋体"/>
          <w:b/>
          <w:bCs/>
          <w:sz w:val="28"/>
          <w:szCs w:val="30"/>
        </w:rPr>
        <w:t>重要提示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产品托管人</w:t>
      </w:r>
      <w:r>
        <w:rPr>
          <w:rFonts w:ascii="宋体" w:hAnsi="宋体"/>
          <w:szCs w:val="21"/>
        </w:rPr>
        <w:t>招商银行股份有限公司杭州分行</w:t>
      </w:r>
      <w:r>
        <w:rPr>
          <w:rFonts w:hint="eastAsia" w:ascii="宋体" w:hAnsi="宋体"/>
          <w:szCs w:val="21"/>
        </w:rPr>
        <w:t>根据《商业银行理财业务监督管理办法》规定，复核了本报告中的产品收益表现、主要财务指标、投资组合情况等内容，保证复核内容不存在虚假记载、误导性陈述或者重大遗漏。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产品管理人承诺以诚实信用、勤勉尽责的原则管理和运用理财资产，但不保证一定盈利。产品的过往业绩并不代表其未来表现。投资有风险，投资者在作出投资决策前应仔细阅读本产品的发行文件。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本报告中财务资料未经审计。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本</w:t>
      </w:r>
      <w:r>
        <w:rPr>
          <w:rFonts w:ascii="宋体" w:hAnsi="宋体"/>
          <w:szCs w:val="21"/>
        </w:rPr>
        <w:t>报告期</w:t>
      </w:r>
      <w:r>
        <w:rPr>
          <w:rFonts w:hint="eastAsia" w:ascii="宋体" w:hAnsi="宋体"/>
          <w:szCs w:val="21"/>
        </w:rPr>
        <w:t>自2024-01-01起至2024-03-31</w:t>
      </w:r>
      <w:r>
        <w:rPr>
          <w:rFonts w:ascii="宋体" w:hAnsi="宋体"/>
          <w:szCs w:val="21"/>
        </w:rPr>
        <w:t>止。</w:t>
      </w:r>
    </w:p>
    <w:p>
      <w:pPr>
        <w:pStyle w:val="40"/>
      </w:pPr>
      <w:r>
        <w:rPr>
          <w:rFonts w:hint="eastAsia"/>
          <w:lang w:eastAsia="zh-CN"/>
        </w:rPr>
        <w:t>产品</w:t>
      </w:r>
      <w:r>
        <w:rPr>
          <w:rFonts w:hint="eastAsia"/>
        </w:rPr>
        <w:t>基本情况</w:t>
      </w:r>
      <w:r>
        <w:rPr>
          <w:rFonts w:hint="eastAsia"/>
          <w:lang w:eastAsia="zh-CN"/>
        </w:rPr>
        <w:t xml:space="preserve"> </w:t>
      </w:r>
    </w:p>
    <w:tbl>
      <w:tblPr>
        <w:tblStyle w:val="17"/>
        <w:tblW w:w="8865" w:type="dxa"/>
        <w:tblInd w:w="9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38"/>
        <w:gridCol w:w="50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项目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  <w:b/>
              </w:rPr>
            </w:pPr>
            <w:r>
              <w:rPr>
                <w:rFonts w:hint="eastAsia" w:ascii="宋体" w:hAnsi="宋体"/>
                <w:b/>
              </w:rPr>
              <w:t>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产品名称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安吉农商银行安芯2023年第52期封闭净值型理财产品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产品登记编码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C3209723000095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ind w:right="-107" w:rightChars="-51"/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产品管理人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浙江安吉农村商业银行股份有限公司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产品托管人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招商银行股份有限公司杭州分行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产品运作方式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公募封闭式净值型银行理财</w:t>
            </w:r>
            <w:r>
              <w:rPr>
                <w:rFonts w:ascii="宋体" w:hAnsi="宋体"/>
              </w:rPr>
              <w:tab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产品成立日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2023-11-20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产品到期日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2024-08-12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1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报告期末产品份额总额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bookmarkStart w:id="0" w:name="OLE_LINK1"/>
            <w:r>
              <w:rPr>
                <w:rFonts w:hint="eastAsia" w:ascii="宋体" w:hAnsi="宋体"/>
              </w:rPr>
              <w:t>13,000,000.00</w:t>
            </w:r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业绩比较基准（如有）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[3.2%-3.6%]/年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估值方法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市值法</w:t>
            </w:r>
          </w:p>
        </w:tc>
      </w:tr>
    </w:tbl>
    <w:p>
      <w:pPr>
        <w:pStyle w:val="40"/>
        <w:rPr>
          <w:lang w:eastAsia="zh-CN"/>
        </w:rPr>
      </w:pPr>
      <w:r>
        <w:rPr>
          <w:rFonts w:hint="eastAsia"/>
        </w:rPr>
        <w:t>产品</w:t>
      </w:r>
      <w:r>
        <w:rPr>
          <w:rFonts w:hint="eastAsia"/>
          <w:lang w:eastAsia="zh-CN"/>
        </w:rPr>
        <w:t>收益</w:t>
      </w:r>
      <w:r>
        <w:rPr>
          <w:rFonts w:hint="eastAsia"/>
        </w:rPr>
        <w:t>表现</w:t>
      </w:r>
    </w:p>
    <w:tbl>
      <w:tblPr>
        <w:tblStyle w:val="17"/>
        <w:tblW w:w="8956" w:type="dxa"/>
        <w:tblInd w:w="8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53"/>
        <w:gridCol w:w="510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6" w:hRule="atLeast"/>
        </w:trPr>
        <w:tc>
          <w:tcPr>
            <w:tcW w:w="3853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</w:rPr>
            </w:pPr>
            <w:r>
              <w:rPr>
                <w:rFonts w:hint="eastAsia"/>
                <w:b/>
              </w:rPr>
              <w:t>阶段</w:t>
            </w:r>
          </w:p>
        </w:tc>
        <w:tc>
          <w:tcPr>
            <w:tcW w:w="5103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</w:rPr>
            </w:pPr>
            <w:r>
              <w:rPr>
                <w:rFonts w:hint="eastAsia"/>
                <w:b/>
              </w:rPr>
              <w:t>净值增长率（%）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</w:trPr>
        <w:tc>
          <w:tcPr>
            <w:tcW w:w="3853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当期（</w:t>
            </w:r>
            <w:r>
              <w:rPr>
                <w:rFonts w:ascii="宋体" w:hAnsi="宋体"/>
              </w:rPr>
              <w:t>2024-01-01</w:t>
            </w:r>
            <w:r>
              <w:rPr>
                <w:rFonts w:hint="eastAsia" w:ascii="宋体" w:hAnsi="宋体"/>
              </w:rPr>
              <w:t>至</w:t>
            </w:r>
            <w:r>
              <w:rPr>
                <w:rFonts w:ascii="宋体" w:hAnsi="宋体"/>
              </w:rPr>
              <w:t>2024-03-31</w:t>
            </w:r>
            <w:r>
              <w:rPr>
                <w:rFonts w:hint="eastAsia" w:ascii="宋体" w:hAnsi="宋体"/>
              </w:rPr>
              <w:t>）</w:t>
            </w:r>
          </w:p>
        </w:tc>
        <w:tc>
          <w:tcPr>
            <w:tcW w:w="5103" w:type="dxa"/>
            <w:vAlign w:val="center"/>
          </w:tcPr>
          <w:p>
            <w:pPr>
              <w:jc w:val="right"/>
            </w:pPr>
            <w:r>
              <w:t>1.49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</w:trPr>
        <w:tc>
          <w:tcPr>
            <w:tcW w:w="3853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自产品成立日至今</w:t>
            </w:r>
          </w:p>
        </w:tc>
        <w:tc>
          <w:tcPr>
            <w:tcW w:w="5103" w:type="dxa"/>
            <w:vAlign w:val="center"/>
          </w:tcPr>
          <w:p>
            <w:pPr>
              <w:jc w:val="right"/>
            </w:pPr>
            <w:r>
              <w:rPr>
                <w:rFonts w:hint="eastAsia"/>
              </w:rPr>
              <w:t>2.48</w:t>
            </w:r>
            <w:bookmarkStart w:id="1" w:name="OLE_LINK4"/>
            <w:bookmarkEnd w:id="1"/>
            <w:bookmarkStart w:id="2" w:name="OLE_LINK7"/>
            <w:bookmarkEnd w:id="2"/>
          </w:p>
        </w:tc>
      </w:tr>
    </w:tbl>
    <w:p>
      <w:pPr>
        <w:spacing w:line="360" w:lineRule="auto"/>
        <w:ind w:left="420" w:leftChars="200"/>
        <w:jc w:val="left"/>
        <w:rPr>
          <w:rFonts w:ascii="宋体" w:hAnsi="宋体"/>
          <w:sz w:val="24"/>
        </w:rPr>
      </w:pPr>
      <w:r>
        <w:rPr>
          <w:rFonts w:ascii="宋体" w:hAnsi="宋体"/>
          <w:sz w:val="24"/>
        </w:rPr>
        <w:t xml:space="preserve"> </w:t>
      </w:r>
    </w:p>
    <w:p>
      <w:pPr>
        <w:pStyle w:val="40"/>
      </w:pPr>
      <w:r>
        <w:rPr>
          <w:rFonts w:hint="eastAsia"/>
        </w:rPr>
        <w:t>主要财务指标</w:t>
      </w:r>
    </w:p>
    <w:p>
      <w:pPr>
        <w:jc w:val="right"/>
        <w:rPr>
          <w:rFonts w:ascii="宋体" w:hAnsi="宋体"/>
        </w:rPr>
      </w:pPr>
      <w:r>
        <w:rPr>
          <w:rFonts w:hint="eastAsia" w:ascii="宋体" w:hAnsi="宋体"/>
        </w:rPr>
        <w:t>金额单位：元</w:t>
      </w:r>
    </w:p>
    <w:tbl>
      <w:tblPr>
        <w:tblStyle w:val="17"/>
        <w:tblW w:w="8865" w:type="dxa"/>
        <w:tblInd w:w="9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38"/>
        <w:gridCol w:w="50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atLeast"/>
        </w:trPr>
        <w:tc>
          <w:tcPr>
            <w:tcW w:w="3838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</w:rPr>
            </w:pPr>
            <w:r>
              <w:rPr>
                <w:rFonts w:hint="eastAsia"/>
                <w:b/>
                <w:bCs/>
              </w:rPr>
              <w:t>项目</w:t>
            </w:r>
          </w:p>
        </w:tc>
        <w:tc>
          <w:tcPr>
            <w:tcW w:w="5027" w:type="dxa"/>
            <w:shd w:val="clear" w:color="auto" w:fill="D9D9D9"/>
            <w:vAlign w:val="center"/>
          </w:tcPr>
          <w:p>
            <w:pPr>
              <w:jc w:val="left"/>
              <w:rPr>
                <w:b/>
              </w:rPr>
            </w:pPr>
            <w:r>
              <w:rPr>
                <w:b/>
              </w:rPr>
              <w:t>2024-01-01</w:t>
            </w:r>
            <w:r>
              <w:rPr>
                <w:rFonts w:hint="eastAsia"/>
                <w:b/>
              </w:rPr>
              <w:t xml:space="preserve">至 </w:t>
            </w:r>
            <w:r>
              <w:rPr>
                <w:b/>
              </w:rPr>
              <w:t>2024-03-31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本期已实现收益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</w:pPr>
            <w:r>
              <w:t>-13,530.39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本期利润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</w:pPr>
            <w:r>
              <w:t>195,229.04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期末产品资产净值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</w:pPr>
            <w:r>
              <w:t>13,322,667.64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期末产品份额净值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</w:pPr>
            <w:r>
              <w:t>1.02482059</w:t>
            </w:r>
          </w:p>
        </w:tc>
      </w:tr>
    </w:tbl>
    <w:p>
      <w:pPr>
        <w:tabs>
          <w:tab w:val="left" w:pos="3135"/>
        </w:tabs>
        <w:ind w:left="420" w:leftChars="200"/>
      </w:pPr>
    </w:p>
    <w:p>
      <w:pPr>
        <w:pStyle w:val="40"/>
      </w:pPr>
      <w:r>
        <w:rPr>
          <w:rFonts w:hint="eastAsia"/>
        </w:rPr>
        <w:t>投资组合情况及</w:t>
      </w:r>
      <w:r>
        <w:t>流动性风险分析</w:t>
      </w: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>
      <w:pPr>
        <w:pStyle w:val="41"/>
        <w:spacing w:before="156" w:after="156"/>
      </w:pPr>
      <w:r>
        <w:rPr>
          <w:rFonts w:hint="eastAsia"/>
          <w:b w:val="0"/>
        </w:rPr>
        <w:t>期末资产组合情况</w:t>
      </w:r>
    </w:p>
    <w:p>
      <w:pPr>
        <w:jc w:val="right"/>
      </w:pPr>
    </w:p>
    <w:p>
      <w:pPr>
        <w:jc w:val="right"/>
      </w:pPr>
    </w:p>
    <w:p>
      <w:pPr>
        <w:jc w:val="right"/>
      </w:pPr>
      <w:r>
        <w:rPr>
          <w:rFonts w:hint="eastAsia"/>
        </w:rPr>
        <w:t>金额单位：元</w:t>
      </w:r>
    </w:p>
    <w:tbl>
      <w:tblPr>
        <w:tblStyle w:val="17"/>
        <w:tblW w:w="886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1"/>
        <w:gridCol w:w="1447"/>
        <w:gridCol w:w="1697"/>
        <w:gridCol w:w="1749"/>
        <w:gridCol w:w="1653"/>
        <w:gridCol w:w="17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611" w:type="dxa"/>
            <w:vMerge w:val="restart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序号</w:t>
            </w:r>
          </w:p>
        </w:tc>
        <w:tc>
          <w:tcPr>
            <w:tcW w:w="1447" w:type="dxa"/>
            <w:vMerge w:val="restart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项目</w:t>
            </w:r>
          </w:p>
        </w:tc>
        <w:tc>
          <w:tcPr>
            <w:tcW w:w="3446" w:type="dxa"/>
            <w:gridSpan w:val="2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直接</w:t>
            </w:r>
            <w:r>
              <w:rPr>
                <w:rFonts w:ascii="宋体" w:hAnsi="宋体"/>
                <w:b/>
                <w:szCs w:val="21"/>
              </w:rPr>
              <w:t>投资</w:t>
            </w:r>
          </w:p>
        </w:tc>
        <w:tc>
          <w:tcPr>
            <w:tcW w:w="3358" w:type="dxa"/>
            <w:gridSpan w:val="2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间接</w:t>
            </w:r>
            <w:r>
              <w:rPr>
                <w:rFonts w:ascii="宋体" w:hAnsi="宋体"/>
                <w:b/>
                <w:szCs w:val="21"/>
              </w:rPr>
              <w:t>投资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611" w:type="dxa"/>
            <w:vMerge w:val="continue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447" w:type="dxa"/>
            <w:vMerge w:val="continue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697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金额</w:t>
            </w:r>
          </w:p>
        </w:tc>
        <w:tc>
          <w:tcPr>
            <w:tcW w:w="1749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占产品总资产的比例（%）</w:t>
            </w:r>
          </w:p>
        </w:tc>
        <w:tc>
          <w:tcPr>
            <w:tcW w:w="1653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金额</w:t>
            </w:r>
          </w:p>
        </w:tc>
        <w:tc>
          <w:tcPr>
            <w:tcW w:w="1705" w:type="dxa"/>
            <w:shd w:val="clear" w:color="auto" w:fill="D9D9D9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占产品总资产的比例（%）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1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权益投资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其中：普通股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存托凭证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653" w:type="dxa"/>
            <w:vAlign w:val="center"/>
          </w:tcPr>
          <w:p>
            <w:pPr>
              <w:jc w:val="right"/>
            </w:pPr>
          </w:p>
        </w:tc>
        <w:tc>
          <w:tcPr>
            <w:tcW w:w="1705" w:type="dxa"/>
            <w:vAlign w:val="center"/>
          </w:tcPr>
          <w:p>
            <w:pPr>
              <w:jc w:val="righ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2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基金投资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3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固定收益投资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12,597,280.31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94.15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其中：债券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12,597,280.31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94.15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资产支持证券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4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金融衍生品投资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其中：远期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653" w:type="dxa"/>
            <w:vAlign w:val="center"/>
          </w:tcPr>
          <w:p>
            <w:pPr>
              <w:jc w:val="right"/>
            </w:pPr>
          </w:p>
        </w:tc>
        <w:tc>
          <w:tcPr>
            <w:tcW w:w="1705" w:type="dxa"/>
            <w:vAlign w:val="center"/>
          </w:tcPr>
          <w:p>
            <w:pPr>
              <w:jc w:val="righ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   期货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653" w:type="dxa"/>
            <w:vAlign w:val="center"/>
          </w:tcPr>
          <w:p>
            <w:pPr>
              <w:jc w:val="right"/>
            </w:pPr>
          </w:p>
        </w:tc>
        <w:tc>
          <w:tcPr>
            <w:tcW w:w="1705" w:type="dxa"/>
            <w:vAlign w:val="center"/>
          </w:tcPr>
          <w:p>
            <w:pPr>
              <w:jc w:val="righ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   期权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   权证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653" w:type="dxa"/>
            <w:vAlign w:val="center"/>
          </w:tcPr>
          <w:p>
            <w:pPr>
              <w:jc w:val="right"/>
            </w:pPr>
          </w:p>
        </w:tc>
        <w:tc>
          <w:tcPr>
            <w:tcW w:w="1705" w:type="dxa"/>
            <w:vAlign w:val="center"/>
          </w:tcPr>
          <w:p>
            <w:pPr>
              <w:jc w:val="righ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5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587,426.13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4.39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其中：买断式回购的买入返售金融资产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6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货币市场工具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653" w:type="dxa"/>
            <w:vAlign w:val="center"/>
          </w:tcPr>
          <w:p>
            <w:pPr>
              <w:jc w:val="right"/>
            </w:pPr>
          </w:p>
        </w:tc>
        <w:tc>
          <w:tcPr>
            <w:tcW w:w="1705" w:type="dxa"/>
            <w:vAlign w:val="center"/>
          </w:tcPr>
          <w:p>
            <w:pPr>
              <w:jc w:val="righ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7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银行存款和结算备付金合计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211,838.69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1.58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8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拆放同业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9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资管</w:t>
            </w:r>
            <w:r>
              <w:rPr>
                <w:rFonts w:ascii="宋体" w:hAnsi="宋体" w:cs="宋体"/>
                <w:kern w:val="0"/>
                <w:sz w:val="22"/>
                <w:szCs w:val="22"/>
              </w:rPr>
              <w:t>产品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13,380,203.76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100.00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10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其他资产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shd w:val="clear" w:color="auto" w:fill="auto"/>
          </w:tcPr>
          <w:p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447" w:type="dxa"/>
            <w:shd w:val="clear" w:color="auto" w:fill="auto"/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合计</w:t>
            </w:r>
          </w:p>
        </w:tc>
        <w:tc>
          <w:tcPr>
            <w:tcW w:w="1697" w:type="dxa"/>
            <w:shd w:val="clear" w:color="auto" w:fill="auto"/>
          </w:tcPr>
          <w:p>
            <w:pPr>
              <w:jc w:val="right"/>
            </w:pPr>
            <w:r>
              <w:t>13,380,203.76</w:t>
            </w:r>
          </w:p>
        </w:tc>
        <w:tc>
          <w:tcPr>
            <w:tcW w:w="1749" w:type="dxa"/>
            <w:shd w:val="clear" w:color="auto" w:fill="auto"/>
          </w:tcPr>
          <w:p>
            <w:pPr>
              <w:jc w:val="right"/>
            </w:pPr>
            <w:r>
              <w:t>100.00</w:t>
            </w:r>
          </w:p>
        </w:tc>
        <w:tc>
          <w:tcPr>
            <w:tcW w:w="1653" w:type="dxa"/>
          </w:tcPr>
          <w:p>
            <w:pPr>
              <w:jc w:val="right"/>
            </w:pPr>
            <w:r>
              <w:t>13,396,545.12</w:t>
            </w:r>
          </w:p>
        </w:tc>
        <w:tc>
          <w:tcPr>
            <w:tcW w:w="1705" w:type="dxa"/>
          </w:tcPr>
          <w:p>
            <w:pPr>
              <w:jc w:val="right"/>
            </w:pPr>
            <w:r>
              <w:t>100.12</w:t>
            </w:r>
          </w:p>
        </w:tc>
      </w:tr>
    </w:tbl>
    <w:p>
      <w:pPr>
        <w:ind w:left="420" w:leftChars="200"/>
        <w:jc w:val="left"/>
        <w:rPr>
          <w:rFonts w:ascii="宋体" w:hAnsi="宋体"/>
          <w:sz w:val="24"/>
        </w:rPr>
      </w:pPr>
    </w:p>
    <w:p>
      <w:pPr>
        <w:ind w:left="420" w:leftChars="200"/>
        <w:jc w:val="left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Cs w:val="21"/>
        </w:rPr>
        <w:t>注1：间接投资占产品总资产的比例（%）为占本产品总资产的比例（%）。</w:t>
      </w:r>
    </w:p>
    <w:p>
      <w:pPr>
        <w:pStyle w:val="41"/>
        <w:spacing w:before="156" w:after="156"/>
        <w:rPr>
          <w:b w:val="0"/>
        </w:rPr>
      </w:pPr>
      <w:r>
        <w:rPr>
          <w:rFonts w:hint="eastAsia"/>
          <w:b w:val="0"/>
        </w:rPr>
        <w:t>投资</w:t>
      </w:r>
      <w:r>
        <w:rPr>
          <w:b w:val="0"/>
        </w:rPr>
        <w:t>组合流动</w:t>
      </w:r>
      <w:r>
        <w:rPr>
          <w:rFonts w:hint="eastAsia"/>
          <w:b w:val="0"/>
          <w:lang w:eastAsia="zh-CN"/>
        </w:rPr>
        <w:t>性</w:t>
      </w:r>
      <w:r>
        <w:rPr>
          <w:b w:val="0"/>
        </w:rPr>
        <w:t>风险分析</w:t>
      </w:r>
    </w:p>
    <w:p>
      <w:pPr>
        <w:widowControl/>
        <w:ind w:firstLine="480" w:firstLineChars="200"/>
        <w:jc w:val="left"/>
        <w:rPr>
          <w:rFonts w:ascii="宋体" w:hAnsi="宋体"/>
          <w:sz w:val="24"/>
        </w:rPr>
      </w:pPr>
      <w:bookmarkStart w:id="5" w:name="_GoBack"/>
      <w:bookmarkEnd w:id="5"/>
      <w:r>
        <w:rPr>
          <w:rFonts w:hint="eastAsia" w:ascii="宋体" w:hAnsi="宋体"/>
          <w:sz w:val="24"/>
        </w:rPr>
        <w:t xml:space="preserve"> </w:t>
      </w:r>
      <w:r>
        <w:rPr>
          <w:rFonts w:hint="eastAsia" w:ascii="宋体" w:hAnsi="宋体"/>
          <w:sz w:val="21"/>
          <w:szCs w:val="20"/>
        </w:rPr>
        <w:t>本产品属于封闭式固收类，无期间申购赎回条款，主要通过大类资产配置思路，采取固收策略，将投资主要分布于较高信用、流动性较好的货币类工具及风险适度的债券上，在尽量保证价值、价格低波动的前提下，增厚产品的风险收益。投资资产原则按照期限匹配进行配置，主要风险为存续期内的信用风险，对资产流动性要求一般，流动性风险较小。</w:t>
      </w:r>
    </w:p>
    <w:p>
      <w:pPr>
        <w:pStyle w:val="41"/>
        <w:spacing w:before="156" w:after="156"/>
        <w:rPr>
          <w:b w:val="0"/>
        </w:rPr>
      </w:pPr>
      <w:r>
        <w:rPr>
          <w:rFonts w:hint="eastAsia"/>
          <w:b w:val="0"/>
        </w:rPr>
        <w:t>报告期末占资产净值比例大小排序的前十项资产</w:t>
      </w:r>
      <w:r>
        <w:rPr>
          <w:b w:val="0"/>
        </w:rPr>
        <w:t>明细</w:t>
      </w:r>
    </w:p>
    <w:p>
      <w:pPr>
        <w:jc w:val="right"/>
        <w:rPr>
          <w:rFonts w:ascii="宋体" w:hAnsi="宋体"/>
        </w:rPr>
      </w:pPr>
      <w:r>
        <w:rPr>
          <w:rFonts w:hint="eastAsia" w:ascii="宋体" w:hAnsi="宋体"/>
        </w:rPr>
        <w:t>金额单位：元</w:t>
      </w:r>
    </w:p>
    <w:tbl>
      <w:tblPr>
        <w:tblStyle w:val="17"/>
        <w:tblW w:w="90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7"/>
        <w:gridCol w:w="3159"/>
        <w:gridCol w:w="2693"/>
        <w:gridCol w:w="24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atLeast"/>
        </w:trPr>
        <w:tc>
          <w:tcPr>
            <w:tcW w:w="777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序号</w:t>
            </w:r>
          </w:p>
        </w:tc>
        <w:tc>
          <w:tcPr>
            <w:tcW w:w="3159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资产名称</w:t>
            </w:r>
          </w:p>
        </w:tc>
        <w:tc>
          <w:tcPr>
            <w:tcW w:w="2693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金额</w:t>
            </w:r>
          </w:p>
        </w:tc>
        <w:tc>
          <w:tcPr>
            <w:tcW w:w="2431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占产品资产净值比例（%）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申万宏源宏安1号单一资产管理计划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</w:pPr>
            <w:r>
              <w:t>13,380,203.76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</w:pPr>
            <w:bookmarkStart w:id="3" w:name="OLE_LINK6"/>
            <w:bookmarkStart w:id="4" w:name="OLE_LINK5"/>
            <w:r>
              <w:t>100.43</w:t>
            </w:r>
            <w:bookmarkEnd w:id="3"/>
            <w:bookmarkEnd w:id="4"/>
          </w:p>
        </w:tc>
      </w:tr>
    </w:tbl>
    <w:p>
      <w:pPr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</w:t>
      </w:r>
    </w:p>
    <w:p>
      <w:pPr>
        <w:ind w:left="424" w:leftChars="202"/>
        <w:jc w:val="left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注：前十项资产明细仅包含证券投资、场外投资，不包含银行活期存款、存出保证金、清算备付金等资产。</w:t>
      </w:r>
    </w:p>
    <w:p>
      <w:pPr>
        <w:pStyle w:val="41"/>
        <w:spacing w:before="156" w:after="156"/>
        <w:rPr>
          <w:b w:val="0"/>
        </w:rPr>
      </w:pPr>
      <w:r>
        <w:rPr>
          <w:rFonts w:hint="eastAsia"/>
          <w:b w:val="0"/>
        </w:rPr>
        <w:t>报告期末占资产净值比例大小排序的前十项资产明细（穿透后）</w:t>
      </w:r>
    </w:p>
    <w:p>
      <w:pPr>
        <w:spacing w:before="100" w:beforeAutospacing="1" w:after="100" w:afterAutospacing="1"/>
        <w:jc w:val="right"/>
      </w:pPr>
      <w:r>
        <w:rPr>
          <w:rFonts w:hint="eastAsia"/>
        </w:rPr>
        <w:t>金额单位：元</w:t>
      </w:r>
    </w:p>
    <w:tbl>
      <w:tblPr>
        <w:tblStyle w:val="17"/>
        <w:tblW w:w="9060" w:type="dxa"/>
        <w:jc w:val="cente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777"/>
        <w:gridCol w:w="3159"/>
        <w:gridCol w:w="2693"/>
        <w:gridCol w:w="2431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4" w:hRule="atLeast"/>
          <w:jc w:val="center"/>
        </w:trPr>
        <w:tc>
          <w:tcPr>
            <w:tcW w:w="7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100" w:beforeAutospacing="1" w:after="100" w:afterAutospacing="1"/>
              <w:jc w:val="center"/>
            </w:pPr>
            <w:r>
              <w:rPr>
                <w:rFonts w:hint="eastAsia"/>
                <w:b/>
                <w:bCs/>
              </w:rPr>
              <w:t>序号</w:t>
            </w:r>
          </w:p>
        </w:tc>
        <w:tc>
          <w:tcPr>
            <w:tcW w:w="3159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100" w:beforeAutospacing="1" w:after="100" w:afterAutospacing="1"/>
              <w:jc w:val="left"/>
            </w:pPr>
            <w:r>
              <w:rPr>
                <w:rFonts w:hint="eastAsia"/>
                <w:b/>
                <w:bCs/>
              </w:rPr>
              <w:t>资产名称</w:t>
            </w:r>
          </w:p>
        </w:tc>
        <w:tc>
          <w:tcPr>
            <w:tcW w:w="269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100" w:beforeAutospacing="1" w:after="100" w:afterAutospacing="1"/>
            </w:pPr>
            <w:r>
              <w:rPr>
                <w:rFonts w:hint="eastAsia"/>
                <w:b/>
                <w:bCs/>
              </w:rPr>
              <w:t>金额</w:t>
            </w:r>
          </w:p>
        </w:tc>
        <w:tc>
          <w:tcPr>
            <w:tcW w:w="2431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100" w:beforeAutospacing="1" w:after="100" w:afterAutospacing="1"/>
            </w:pPr>
            <w:r>
              <w:rPr>
                <w:rFonts w:hint="eastAsia"/>
                <w:b/>
                <w:bCs/>
              </w:rPr>
              <w:t>占产品资产净值比例（%）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1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19上虞农商二级01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2,435,137.25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18.28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2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20嘉善农商二级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2,426,979.61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18.22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3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22两山02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2,414,428.53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18.12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4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G22浙湖1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2,402,450.96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18.03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5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20瓯海农商二级01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1,930,275.29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14.49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6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14鄞州银行二级债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988,008.66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7.42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7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R014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469,717.14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3.53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8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3天债券协议回购_206007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117,708.99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0.88</w:t>
            </w:r>
          </w:p>
        </w:tc>
      </w:tr>
    </w:tbl>
    <w:p>
      <w:pPr>
        <w:spacing w:before="100" w:beforeAutospacing="1" w:after="100" w:afterAutospacing="1"/>
      </w:pPr>
      <w:r>
        <w:rPr>
          <w:rFonts w:hint="eastAsia"/>
        </w:rPr>
        <w:t>注：前十项资产明细仅包含证券投资、场外投资，不包含银行活期存款、存出保证金、清算备付金等资产。</w:t>
      </w:r>
    </w:p>
    <w:p>
      <w:pPr>
        <w:pStyle w:val="40"/>
      </w:pPr>
      <w:r>
        <w:t>托管人报告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招商银行具备完善的公司治理结构、内部稽核监控制度和风险控制制度，我行在履行托管职责中，严格遵守有关法律法规、托管协议的规定，尽职尽责地履行托管义务并安全保管托管资产。</w:t>
      </w:r>
    </w:p>
    <w:p>
      <w:pPr>
        <w:jc w:val="left"/>
        <w:rPr>
          <w:rFonts w:asciiTheme="minorEastAsia" w:hAnsiTheme="minorEastAsia" w:eastAsiaTheme="minorEastAsia"/>
          <w:szCs w:val="21"/>
        </w:rPr>
      </w:pPr>
    </w:p>
    <w:p>
      <w:pPr>
        <w:jc w:val="right"/>
        <w:rPr>
          <w:rFonts w:ascii="宋体" w:hAnsi="宋体"/>
          <w:sz w:val="24"/>
        </w:rPr>
      </w:pPr>
    </w:p>
    <w:p>
      <w:pPr>
        <w:jc w:val="right"/>
        <w:rPr>
          <w:rFonts w:ascii="宋体" w:hAnsi="宋体"/>
          <w:sz w:val="24"/>
        </w:rPr>
      </w:pPr>
    </w:p>
    <w:p>
      <w:pPr>
        <w:jc w:val="right"/>
        <w:rPr>
          <w:rFonts w:ascii="宋体" w:hAnsi="宋体"/>
          <w:sz w:val="24"/>
        </w:rPr>
      </w:pPr>
    </w:p>
    <w:p>
      <w:pPr>
        <w:jc w:val="right"/>
        <w:rPr>
          <w:rFonts w:ascii="宋体" w:hAnsi="宋体"/>
          <w:sz w:val="24"/>
        </w:rPr>
      </w:pPr>
    </w:p>
    <w:p>
      <w:pPr>
        <w:jc w:val="right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浙江安吉农村商业银行股份有限公司</w:t>
      </w:r>
    </w:p>
    <w:p>
      <w:pPr>
        <w:jc w:val="right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2024-04-15</w:t>
      </w:r>
      <w:r>
        <w:rPr>
          <w:rFonts w:hint="eastAsia" w:ascii="宋体" w:hAnsi="宋体"/>
          <w:sz w:val="28"/>
          <w:szCs w:val="28"/>
        </w:rPr>
        <w:t xml:space="preserve">                   </w:t>
      </w:r>
    </w:p>
    <w:sectPr>
      <w:footerReference r:id="rId3" w:type="default"/>
      <w:footerReference r:id="rId4" w:type="even"/>
      <w:pgSz w:w="11906" w:h="16838"/>
      <w:pgMar w:top="1440" w:right="1531" w:bottom="1134" w:left="1531" w:header="851" w:footer="992" w:gutter="0"/>
      <w:pgNumType w:fmt="decimal" w:start="1" w:chapSep="hyphen"/>
      <w:cols w:space="720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Arial Unicode MS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framePr w:wrap="around" w:vAnchor="text" w:hAnchor="margin" w:xAlign="right"/>
      <w:rPr>
        <w:rStyle w:val="20"/>
      </w:rPr>
    </w:pPr>
    <w:r>
      <w:rPr>
        <w:rStyle w:val="20"/>
        <w:rFonts w:hint="eastAsia"/>
      </w:rPr>
      <w:t xml:space="preserve"> </w:t>
    </w:r>
  </w:p>
  <w:p>
    <w:pPr>
      <w:pStyle w:val="10"/>
      <w:ind w:right="108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framePr w:wrap="around" w:vAnchor="text" w:hAnchor="margin" w:xAlign="right"/>
      <w:rPr>
        <w:rStyle w:val="20"/>
      </w:rPr>
    </w:pPr>
    <w:r>
      <w:rPr>
        <w:rStyle w:val="20"/>
      </w:rPr>
      <w:fldChar w:fldCharType="begin"/>
    </w:r>
    <w:r>
      <w:rPr>
        <w:rStyle w:val="20"/>
      </w:rPr>
      <w:instrText xml:space="preserve">PAGE  </w:instrText>
    </w:r>
    <w:r>
      <w:rPr>
        <w:rStyle w:val="20"/>
      </w:rPr>
      <w:fldChar w:fldCharType="end"/>
    </w:r>
  </w:p>
  <w:p>
    <w:pPr>
      <w:pStyle w:val="10"/>
      <w:ind w:right="360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47D73EE"/>
    <w:multiLevelType w:val="multilevel"/>
    <w:tmpl w:val="547D73EE"/>
    <w:lvl w:ilvl="0" w:tentative="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entative="0">
      <w:start w:val="1"/>
      <w:numFmt w:val="decimal"/>
      <w:pStyle w:val="41"/>
      <w:suff w:val="space"/>
      <w:lvlText w:val="%1.%2"/>
      <w:lvlJc w:val="left"/>
      <w:pPr>
        <w:ind w:left="454" w:hanging="454"/>
      </w:pPr>
      <w:rPr>
        <w:rFonts w:hint="eastAsia"/>
      </w:rPr>
    </w:lvl>
    <w:lvl w:ilvl="2" w:tentative="0">
      <w:start w:val="1"/>
      <w:numFmt w:val="decimal"/>
      <w:pStyle w:val="42"/>
      <w:suff w:val="space"/>
      <w:lvlText w:val="%1.%2.%3"/>
      <w:lvlJc w:val="left"/>
      <w:pPr>
        <w:ind w:left="1050" w:hanging="624"/>
      </w:pPr>
      <w:rPr>
        <w:rFonts w:hint="eastAsia"/>
      </w:rPr>
    </w:lvl>
    <w:lvl w:ilvl="3" w:tentative="0">
      <w:start w:val="1"/>
      <w:numFmt w:val="decimal"/>
      <w:pStyle w:val="43"/>
      <w:suff w:val="space"/>
      <w:lvlText w:val="%1.%2.%3.%4"/>
      <w:lvlJc w:val="left"/>
      <w:pPr>
        <w:ind w:left="794" w:hanging="794"/>
      </w:pPr>
      <w:rPr>
        <w:rFonts w:hint="eastAsia"/>
      </w:rPr>
    </w:lvl>
    <w:lvl w:ilvl="4" w:tentative="0">
      <w:start w:val="1"/>
      <w:numFmt w:val="decimal"/>
      <w:pStyle w:val="44"/>
      <w:suff w:val="space"/>
      <w:lvlText w:val="%1.%2.%3.%4.%5"/>
      <w:lvlJc w:val="left"/>
      <w:pPr>
        <w:ind w:left="1021" w:hanging="1021"/>
      </w:pPr>
      <w:rPr>
        <w:rFonts w:hint="eastAsia"/>
      </w:rPr>
    </w:lvl>
    <w:lvl w:ilvl="5" w:tentative="0">
      <w:start w:val="1"/>
      <w:numFmt w:val="decimal"/>
      <w:pStyle w:val="45"/>
      <w:suff w:val="space"/>
      <w:lvlText w:val="%1.%2.%3.%4.%5.%6"/>
      <w:lvlJc w:val="left"/>
      <w:pPr>
        <w:ind w:left="1021" w:hanging="1021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1">
    <w:nsid w:val="7E1B1D2A"/>
    <w:multiLevelType w:val="multilevel"/>
    <w:tmpl w:val="7E1B1D2A"/>
    <w:lvl w:ilvl="0" w:tentative="0">
      <w:start w:val="1"/>
      <w:numFmt w:val="decimal"/>
      <w:pStyle w:val="40"/>
      <w:lvlText w:val="%1、"/>
      <w:lvlJc w:val="left"/>
      <w:pPr>
        <w:ind w:left="420" w:hanging="420"/>
      </w:pPr>
      <w:rPr>
        <w:rFonts w:hint="eastAsia"/>
        <w:spacing w:val="-20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DI1N2U0NGIxNTAyNDY2OTU0NzIzNmU3NDIzNjY2OTAifQ=="/>
  </w:docVars>
  <w:rsids>
    <w:rsidRoot w:val="00172A27"/>
    <w:rsid w:val="00001A36"/>
    <w:rsid w:val="00011E30"/>
    <w:rsid w:val="00011E76"/>
    <w:rsid w:val="000167A6"/>
    <w:rsid w:val="00017B7D"/>
    <w:rsid w:val="000224FE"/>
    <w:rsid w:val="00024803"/>
    <w:rsid w:val="00024FA2"/>
    <w:rsid w:val="00025E0C"/>
    <w:rsid w:val="0002761E"/>
    <w:rsid w:val="00027C34"/>
    <w:rsid w:val="00035197"/>
    <w:rsid w:val="00036749"/>
    <w:rsid w:val="00036CDC"/>
    <w:rsid w:val="00037456"/>
    <w:rsid w:val="0003799B"/>
    <w:rsid w:val="00047F36"/>
    <w:rsid w:val="00055BE3"/>
    <w:rsid w:val="0006004E"/>
    <w:rsid w:val="0006022E"/>
    <w:rsid w:val="00062D58"/>
    <w:rsid w:val="000666E4"/>
    <w:rsid w:val="000739FE"/>
    <w:rsid w:val="00074396"/>
    <w:rsid w:val="000745C5"/>
    <w:rsid w:val="00074778"/>
    <w:rsid w:val="000811DB"/>
    <w:rsid w:val="00081814"/>
    <w:rsid w:val="000825DB"/>
    <w:rsid w:val="00083139"/>
    <w:rsid w:val="00084444"/>
    <w:rsid w:val="00091668"/>
    <w:rsid w:val="000954BC"/>
    <w:rsid w:val="000957D7"/>
    <w:rsid w:val="00096252"/>
    <w:rsid w:val="000A0247"/>
    <w:rsid w:val="000A1C35"/>
    <w:rsid w:val="000B049B"/>
    <w:rsid w:val="000B12F7"/>
    <w:rsid w:val="000B65EC"/>
    <w:rsid w:val="000C0357"/>
    <w:rsid w:val="000C13BD"/>
    <w:rsid w:val="000C5B47"/>
    <w:rsid w:val="000D078C"/>
    <w:rsid w:val="000D4CEA"/>
    <w:rsid w:val="000D5DDE"/>
    <w:rsid w:val="000E103E"/>
    <w:rsid w:val="000E2280"/>
    <w:rsid w:val="000E5BF4"/>
    <w:rsid w:val="000E7303"/>
    <w:rsid w:val="000E7594"/>
    <w:rsid w:val="000E7EE4"/>
    <w:rsid w:val="000F1CA3"/>
    <w:rsid w:val="000F1EB8"/>
    <w:rsid w:val="000F79B4"/>
    <w:rsid w:val="001003A8"/>
    <w:rsid w:val="001178EF"/>
    <w:rsid w:val="00123DCF"/>
    <w:rsid w:val="001241D2"/>
    <w:rsid w:val="00127EE5"/>
    <w:rsid w:val="00130058"/>
    <w:rsid w:val="001304CE"/>
    <w:rsid w:val="00130B97"/>
    <w:rsid w:val="00131F63"/>
    <w:rsid w:val="001321D3"/>
    <w:rsid w:val="001367E6"/>
    <w:rsid w:val="0013763A"/>
    <w:rsid w:val="00137F13"/>
    <w:rsid w:val="00142BF7"/>
    <w:rsid w:val="001438D5"/>
    <w:rsid w:val="001505C2"/>
    <w:rsid w:val="0015110C"/>
    <w:rsid w:val="0015418C"/>
    <w:rsid w:val="001546E3"/>
    <w:rsid w:val="00156CE7"/>
    <w:rsid w:val="001634F8"/>
    <w:rsid w:val="00172A27"/>
    <w:rsid w:val="00175535"/>
    <w:rsid w:val="00182115"/>
    <w:rsid w:val="0019201F"/>
    <w:rsid w:val="00193840"/>
    <w:rsid w:val="00196688"/>
    <w:rsid w:val="001A6A60"/>
    <w:rsid w:val="001A6DCE"/>
    <w:rsid w:val="001B0D81"/>
    <w:rsid w:val="001B2258"/>
    <w:rsid w:val="001B3575"/>
    <w:rsid w:val="001B43F0"/>
    <w:rsid w:val="001C4ACD"/>
    <w:rsid w:val="001C5999"/>
    <w:rsid w:val="001D364E"/>
    <w:rsid w:val="001E12D4"/>
    <w:rsid w:val="001E1A37"/>
    <w:rsid w:val="001E27AF"/>
    <w:rsid w:val="001E2A08"/>
    <w:rsid w:val="001E4B7A"/>
    <w:rsid w:val="001E7354"/>
    <w:rsid w:val="001E73F7"/>
    <w:rsid w:val="001E7E3E"/>
    <w:rsid w:val="001F28F0"/>
    <w:rsid w:val="001F4ADC"/>
    <w:rsid w:val="001F5BAE"/>
    <w:rsid w:val="001F7D68"/>
    <w:rsid w:val="00203F6A"/>
    <w:rsid w:val="00210223"/>
    <w:rsid w:val="0021036E"/>
    <w:rsid w:val="00212735"/>
    <w:rsid w:val="00212AC6"/>
    <w:rsid w:val="00217B81"/>
    <w:rsid w:val="00222DFB"/>
    <w:rsid w:val="00226962"/>
    <w:rsid w:val="00226D1D"/>
    <w:rsid w:val="00227C89"/>
    <w:rsid w:val="0024340D"/>
    <w:rsid w:val="00246E06"/>
    <w:rsid w:val="002520E6"/>
    <w:rsid w:val="00254241"/>
    <w:rsid w:val="002543ED"/>
    <w:rsid w:val="002550F8"/>
    <w:rsid w:val="00256F99"/>
    <w:rsid w:val="00261703"/>
    <w:rsid w:val="00265F21"/>
    <w:rsid w:val="002709E9"/>
    <w:rsid w:val="0027180C"/>
    <w:rsid w:val="00285198"/>
    <w:rsid w:val="0028673C"/>
    <w:rsid w:val="00291837"/>
    <w:rsid w:val="00293CED"/>
    <w:rsid w:val="002A1060"/>
    <w:rsid w:val="002A5581"/>
    <w:rsid w:val="002A6967"/>
    <w:rsid w:val="002B18D0"/>
    <w:rsid w:val="002B1BF7"/>
    <w:rsid w:val="002B2425"/>
    <w:rsid w:val="002B5C75"/>
    <w:rsid w:val="002B6AB0"/>
    <w:rsid w:val="002B6D92"/>
    <w:rsid w:val="002C0D52"/>
    <w:rsid w:val="002D2E99"/>
    <w:rsid w:val="002D3143"/>
    <w:rsid w:val="002D50E0"/>
    <w:rsid w:val="002D70F8"/>
    <w:rsid w:val="002E15C2"/>
    <w:rsid w:val="002E2A8D"/>
    <w:rsid w:val="002E366D"/>
    <w:rsid w:val="002E37D7"/>
    <w:rsid w:val="002E6930"/>
    <w:rsid w:val="002F1904"/>
    <w:rsid w:val="002F1EBF"/>
    <w:rsid w:val="002F244E"/>
    <w:rsid w:val="002F2A39"/>
    <w:rsid w:val="002F73B7"/>
    <w:rsid w:val="003017B8"/>
    <w:rsid w:val="00302E0B"/>
    <w:rsid w:val="0030728E"/>
    <w:rsid w:val="003140F2"/>
    <w:rsid w:val="003170E3"/>
    <w:rsid w:val="003176DF"/>
    <w:rsid w:val="003217E4"/>
    <w:rsid w:val="003245FC"/>
    <w:rsid w:val="003350C8"/>
    <w:rsid w:val="00336953"/>
    <w:rsid w:val="0034174F"/>
    <w:rsid w:val="00347E59"/>
    <w:rsid w:val="0035009E"/>
    <w:rsid w:val="00351099"/>
    <w:rsid w:val="00352670"/>
    <w:rsid w:val="0035379B"/>
    <w:rsid w:val="003545C4"/>
    <w:rsid w:val="00354AB0"/>
    <w:rsid w:val="00355798"/>
    <w:rsid w:val="00355F58"/>
    <w:rsid w:val="00362921"/>
    <w:rsid w:val="003629D6"/>
    <w:rsid w:val="0036621F"/>
    <w:rsid w:val="00370236"/>
    <w:rsid w:val="00370D1C"/>
    <w:rsid w:val="0037107A"/>
    <w:rsid w:val="0037163C"/>
    <w:rsid w:val="00372961"/>
    <w:rsid w:val="00373861"/>
    <w:rsid w:val="0037574C"/>
    <w:rsid w:val="00380B72"/>
    <w:rsid w:val="00386349"/>
    <w:rsid w:val="00386B5A"/>
    <w:rsid w:val="00391B1F"/>
    <w:rsid w:val="00392524"/>
    <w:rsid w:val="0039364C"/>
    <w:rsid w:val="00394EF9"/>
    <w:rsid w:val="00397112"/>
    <w:rsid w:val="00397200"/>
    <w:rsid w:val="003A0970"/>
    <w:rsid w:val="003A7C09"/>
    <w:rsid w:val="003B436D"/>
    <w:rsid w:val="003B7836"/>
    <w:rsid w:val="003C0A61"/>
    <w:rsid w:val="003C24AD"/>
    <w:rsid w:val="003C5071"/>
    <w:rsid w:val="003D0E86"/>
    <w:rsid w:val="003D15A3"/>
    <w:rsid w:val="003D39AE"/>
    <w:rsid w:val="003D4200"/>
    <w:rsid w:val="003D7D84"/>
    <w:rsid w:val="003E15D9"/>
    <w:rsid w:val="003E460E"/>
    <w:rsid w:val="003E7218"/>
    <w:rsid w:val="0040013A"/>
    <w:rsid w:val="0040127C"/>
    <w:rsid w:val="00402216"/>
    <w:rsid w:val="00415C27"/>
    <w:rsid w:val="004169FD"/>
    <w:rsid w:val="00420876"/>
    <w:rsid w:val="0042283D"/>
    <w:rsid w:val="00430538"/>
    <w:rsid w:val="004332EF"/>
    <w:rsid w:val="00436399"/>
    <w:rsid w:val="004405BC"/>
    <w:rsid w:val="0044179E"/>
    <w:rsid w:val="004422DD"/>
    <w:rsid w:val="00442C23"/>
    <w:rsid w:val="00442E16"/>
    <w:rsid w:val="0044354B"/>
    <w:rsid w:val="00444430"/>
    <w:rsid w:val="00445B1D"/>
    <w:rsid w:val="00445B84"/>
    <w:rsid w:val="00445B9F"/>
    <w:rsid w:val="00450537"/>
    <w:rsid w:val="00451D7B"/>
    <w:rsid w:val="0045697B"/>
    <w:rsid w:val="00457E70"/>
    <w:rsid w:val="0046347F"/>
    <w:rsid w:val="0046369D"/>
    <w:rsid w:val="00464A4B"/>
    <w:rsid w:val="00465827"/>
    <w:rsid w:val="00466631"/>
    <w:rsid w:val="00467018"/>
    <w:rsid w:val="0047019A"/>
    <w:rsid w:val="00475C49"/>
    <w:rsid w:val="00477FEC"/>
    <w:rsid w:val="00482F15"/>
    <w:rsid w:val="004864F2"/>
    <w:rsid w:val="00487E77"/>
    <w:rsid w:val="004925AF"/>
    <w:rsid w:val="00493D46"/>
    <w:rsid w:val="004976C7"/>
    <w:rsid w:val="00497AFF"/>
    <w:rsid w:val="004A7E27"/>
    <w:rsid w:val="004B02F2"/>
    <w:rsid w:val="004B6EF6"/>
    <w:rsid w:val="004C126D"/>
    <w:rsid w:val="004C2C74"/>
    <w:rsid w:val="004C439A"/>
    <w:rsid w:val="004C56A8"/>
    <w:rsid w:val="004C689C"/>
    <w:rsid w:val="004D2B6B"/>
    <w:rsid w:val="004D2D2A"/>
    <w:rsid w:val="004E2CFE"/>
    <w:rsid w:val="004E344E"/>
    <w:rsid w:val="004E4E80"/>
    <w:rsid w:val="004E53DD"/>
    <w:rsid w:val="004E5C17"/>
    <w:rsid w:val="004F0ECB"/>
    <w:rsid w:val="004F50D0"/>
    <w:rsid w:val="004F55AB"/>
    <w:rsid w:val="004F5803"/>
    <w:rsid w:val="004F64A1"/>
    <w:rsid w:val="00500777"/>
    <w:rsid w:val="00501D92"/>
    <w:rsid w:val="00503B75"/>
    <w:rsid w:val="005066A6"/>
    <w:rsid w:val="00511DB9"/>
    <w:rsid w:val="00513688"/>
    <w:rsid w:val="00513763"/>
    <w:rsid w:val="00524F71"/>
    <w:rsid w:val="005272CD"/>
    <w:rsid w:val="00527A49"/>
    <w:rsid w:val="005310A6"/>
    <w:rsid w:val="0053595B"/>
    <w:rsid w:val="00537901"/>
    <w:rsid w:val="00540DE6"/>
    <w:rsid w:val="00542A91"/>
    <w:rsid w:val="0054387B"/>
    <w:rsid w:val="005465B6"/>
    <w:rsid w:val="00552EA5"/>
    <w:rsid w:val="00554065"/>
    <w:rsid w:val="00555D8D"/>
    <w:rsid w:val="00560EAF"/>
    <w:rsid w:val="00572059"/>
    <w:rsid w:val="00573E83"/>
    <w:rsid w:val="005775FA"/>
    <w:rsid w:val="00583550"/>
    <w:rsid w:val="00591622"/>
    <w:rsid w:val="005947ED"/>
    <w:rsid w:val="00596277"/>
    <w:rsid w:val="005B6C71"/>
    <w:rsid w:val="005C208D"/>
    <w:rsid w:val="005C50DF"/>
    <w:rsid w:val="005C6300"/>
    <w:rsid w:val="005D0C97"/>
    <w:rsid w:val="005D13A8"/>
    <w:rsid w:val="005D2052"/>
    <w:rsid w:val="005D22EB"/>
    <w:rsid w:val="005D3D05"/>
    <w:rsid w:val="005E1666"/>
    <w:rsid w:val="005E1A2D"/>
    <w:rsid w:val="005E31BD"/>
    <w:rsid w:val="005E3ECA"/>
    <w:rsid w:val="005E4AD5"/>
    <w:rsid w:val="005E5183"/>
    <w:rsid w:val="005F4FA6"/>
    <w:rsid w:val="005F6FF9"/>
    <w:rsid w:val="005F71F6"/>
    <w:rsid w:val="00600E89"/>
    <w:rsid w:val="00603880"/>
    <w:rsid w:val="00603FEA"/>
    <w:rsid w:val="00604956"/>
    <w:rsid w:val="006108E0"/>
    <w:rsid w:val="00612615"/>
    <w:rsid w:val="00612ABC"/>
    <w:rsid w:val="00620EA2"/>
    <w:rsid w:val="00625E1C"/>
    <w:rsid w:val="00632039"/>
    <w:rsid w:val="00641758"/>
    <w:rsid w:val="00643676"/>
    <w:rsid w:val="006436D6"/>
    <w:rsid w:val="006458E3"/>
    <w:rsid w:val="006464AD"/>
    <w:rsid w:val="00647545"/>
    <w:rsid w:val="00647AB1"/>
    <w:rsid w:val="00655059"/>
    <w:rsid w:val="00660553"/>
    <w:rsid w:val="00663245"/>
    <w:rsid w:val="00663DE1"/>
    <w:rsid w:val="00664C86"/>
    <w:rsid w:val="00664F5A"/>
    <w:rsid w:val="00665902"/>
    <w:rsid w:val="006664D5"/>
    <w:rsid w:val="00667384"/>
    <w:rsid w:val="00667447"/>
    <w:rsid w:val="0067267E"/>
    <w:rsid w:val="00675178"/>
    <w:rsid w:val="006761C2"/>
    <w:rsid w:val="006771FF"/>
    <w:rsid w:val="00682943"/>
    <w:rsid w:val="00683D3B"/>
    <w:rsid w:val="006876F4"/>
    <w:rsid w:val="00692A30"/>
    <w:rsid w:val="00693EF1"/>
    <w:rsid w:val="006955BF"/>
    <w:rsid w:val="00697DB7"/>
    <w:rsid w:val="006A307A"/>
    <w:rsid w:val="006B0B91"/>
    <w:rsid w:val="006B24E7"/>
    <w:rsid w:val="006B554E"/>
    <w:rsid w:val="006B5B87"/>
    <w:rsid w:val="006C21A8"/>
    <w:rsid w:val="006C483B"/>
    <w:rsid w:val="006C49D3"/>
    <w:rsid w:val="006C742E"/>
    <w:rsid w:val="006D78DE"/>
    <w:rsid w:val="006E2B12"/>
    <w:rsid w:val="006E3BE7"/>
    <w:rsid w:val="006E5986"/>
    <w:rsid w:val="006E5F79"/>
    <w:rsid w:val="006E6073"/>
    <w:rsid w:val="006E7D51"/>
    <w:rsid w:val="006F01F5"/>
    <w:rsid w:val="006F05AC"/>
    <w:rsid w:val="006F1E99"/>
    <w:rsid w:val="006F26FB"/>
    <w:rsid w:val="006F2A9A"/>
    <w:rsid w:val="006F33DF"/>
    <w:rsid w:val="006F7150"/>
    <w:rsid w:val="00710788"/>
    <w:rsid w:val="00710F9C"/>
    <w:rsid w:val="00711860"/>
    <w:rsid w:val="00714D1B"/>
    <w:rsid w:val="00717029"/>
    <w:rsid w:val="00720312"/>
    <w:rsid w:val="0072202C"/>
    <w:rsid w:val="0072288E"/>
    <w:rsid w:val="007229F0"/>
    <w:rsid w:val="00730BF8"/>
    <w:rsid w:val="007313AE"/>
    <w:rsid w:val="00735E33"/>
    <w:rsid w:val="0073667E"/>
    <w:rsid w:val="00740012"/>
    <w:rsid w:val="00741F34"/>
    <w:rsid w:val="00745B3A"/>
    <w:rsid w:val="0074780F"/>
    <w:rsid w:val="007502BB"/>
    <w:rsid w:val="007520B7"/>
    <w:rsid w:val="00752D2E"/>
    <w:rsid w:val="007539EE"/>
    <w:rsid w:val="00756CFF"/>
    <w:rsid w:val="00761A28"/>
    <w:rsid w:val="00762F4A"/>
    <w:rsid w:val="007633CA"/>
    <w:rsid w:val="007663F0"/>
    <w:rsid w:val="00767B4B"/>
    <w:rsid w:val="00774DB3"/>
    <w:rsid w:val="00777511"/>
    <w:rsid w:val="00782BD3"/>
    <w:rsid w:val="00783A2D"/>
    <w:rsid w:val="00783C30"/>
    <w:rsid w:val="00786516"/>
    <w:rsid w:val="0078701B"/>
    <w:rsid w:val="0079003D"/>
    <w:rsid w:val="00790F54"/>
    <w:rsid w:val="00792C55"/>
    <w:rsid w:val="0079349C"/>
    <w:rsid w:val="007957D3"/>
    <w:rsid w:val="007963A4"/>
    <w:rsid w:val="007A3942"/>
    <w:rsid w:val="007A41FE"/>
    <w:rsid w:val="007A4FF1"/>
    <w:rsid w:val="007A5C4C"/>
    <w:rsid w:val="007A6008"/>
    <w:rsid w:val="007A66E8"/>
    <w:rsid w:val="007A67A8"/>
    <w:rsid w:val="007A6D6E"/>
    <w:rsid w:val="007B5B14"/>
    <w:rsid w:val="007C00B5"/>
    <w:rsid w:val="007C271F"/>
    <w:rsid w:val="007D4695"/>
    <w:rsid w:val="007D5F69"/>
    <w:rsid w:val="007D7D2D"/>
    <w:rsid w:val="007E24A8"/>
    <w:rsid w:val="007E6BBB"/>
    <w:rsid w:val="007F0CC4"/>
    <w:rsid w:val="007F261A"/>
    <w:rsid w:val="007F4389"/>
    <w:rsid w:val="00805841"/>
    <w:rsid w:val="008067E9"/>
    <w:rsid w:val="00810BDB"/>
    <w:rsid w:val="008138C2"/>
    <w:rsid w:val="008207FC"/>
    <w:rsid w:val="00824A1A"/>
    <w:rsid w:val="0082723D"/>
    <w:rsid w:val="00830FB1"/>
    <w:rsid w:val="008318D4"/>
    <w:rsid w:val="00832C2D"/>
    <w:rsid w:val="00835C56"/>
    <w:rsid w:val="00835F60"/>
    <w:rsid w:val="0083628C"/>
    <w:rsid w:val="00840509"/>
    <w:rsid w:val="00840E2A"/>
    <w:rsid w:val="00841B85"/>
    <w:rsid w:val="0084484A"/>
    <w:rsid w:val="00845EAD"/>
    <w:rsid w:val="008509BD"/>
    <w:rsid w:val="008518FE"/>
    <w:rsid w:val="00856079"/>
    <w:rsid w:val="008631C4"/>
    <w:rsid w:val="00863246"/>
    <w:rsid w:val="008647E2"/>
    <w:rsid w:val="00865A3B"/>
    <w:rsid w:val="00867C1C"/>
    <w:rsid w:val="00871807"/>
    <w:rsid w:val="0087458E"/>
    <w:rsid w:val="00874F4C"/>
    <w:rsid w:val="00877005"/>
    <w:rsid w:val="0088112D"/>
    <w:rsid w:val="0088245D"/>
    <w:rsid w:val="00886D81"/>
    <w:rsid w:val="00893B6A"/>
    <w:rsid w:val="008A0C31"/>
    <w:rsid w:val="008A1EE5"/>
    <w:rsid w:val="008A2F62"/>
    <w:rsid w:val="008B10B5"/>
    <w:rsid w:val="008B3EC8"/>
    <w:rsid w:val="008B6C92"/>
    <w:rsid w:val="008B7CE7"/>
    <w:rsid w:val="008C3A26"/>
    <w:rsid w:val="008C42A4"/>
    <w:rsid w:val="008C53F1"/>
    <w:rsid w:val="008C5FF0"/>
    <w:rsid w:val="008D1AF9"/>
    <w:rsid w:val="008D2226"/>
    <w:rsid w:val="008E4405"/>
    <w:rsid w:val="008E4839"/>
    <w:rsid w:val="008E5D81"/>
    <w:rsid w:val="008E656C"/>
    <w:rsid w:val="008E704C"/>
    <w:rsid w:val="008F39A1"/>
    <w:rsid w:val="00902772"/>
    <w:rsid w:val="00903665"/>
    <w:rsid w:val="0090419E"/>
    <w:rsid w:val="00904C28"/>
    <w:rsid w:val="009053AC"/>
    <w:rsid w:val="00910979"/>
    <w:rsid w:val="00913FA1"/>
    <w:rsid w:val="00916263"/>
    <w:rsid w:val="00916B1E"/>
    <w:rsid w:val="00916CF7"/>
    <w:rsid w:val="00916F72"/>
    <w:rsid w:val="00917EB0"/>
    <w:rsid w:val="009200D9"/>
    <w:rsid w:val="00924290"/>
    <w:rsid w:val="0093136C"/>
    <w:rsid w:val="009361E0"/>
    <w:rsid w:val="00940851"/>
    <w:rsid w:val="0094353A"/>
    <w:rsid w:val="00950E79"/>
    <w:rsid w:val="00953DC8"/>
    <w:rsid w:val="009541DC"/>
    <w:rsid w:val="00954DED"/>
    <w:rsid w:val="00957FBC"/>
    <w:rsid w:val="0096288A"/>
    <w:rsid w:val="0096360D"/>
    <w:rsid w:val="00963665"/>
    <w:rsid w:val="009647CE"/>
    <w:rsid w:val="00964DCE"/>
    <w:rsid w:val="009661C0"/>
    <w:rsid w:val="009713B5"/>
    <w:rsid w:val="0097695A"/>
    <w:rsid w:val="00982515"/>
    <w:rsid w:val="00985C6F"/>
    <w:rsid w:val="00987DA5"/>
    <w:rsid w:val="00996119"/>
    <w:rsid w:val="009A10CD"/>
    <w:rsid w:val="009B1BE6"/>
    <w:rsid w:val="009B2215"/>
    <w:rsid w:val="009B3F2A"/>
    <w:rsid w:val="009B493D"/>
    <w:rsid w:val="009B6017"/>
    <w:rsid w:val="009B77A4"/>
    <w:rsid w:val="009B7B34"/>
    <w:rsid w:val="009C02EB"/>
    <w:rsid w:val="009C263C"/>
    <w:rsid w:val="009C760C"/>
    <w:rsid w:val="009D22C9"/>
    <w:rsid w:val="009D59B1"/>
    <w:rsid w:val="009D6E38"/>
    <w:rsid w:val="009D7798"/>
    <w:rsid w:val="009D7F30"/>
    <w:rsid w:val="009E272C"/>
    <w:rsid w:val="009E7949"/>
    <w:rsid w:val="009F1173"/>
    <w:rsid w:val="009F2CE7"/>
    <w:rsid w:val="009F6300"/>
    <w:rsid w:val="00A03DAA"/>
    <w:rsid w:val="00A04E16"/>
    <w:rsid w:val="00A053A7"/>
    <w:rsid w:val="00A07072"/>
    <w:rsid w:val="00A1398C"/>
    <w:rsid w:val="00A16209"/>
    <w:rsid w:val="00A179D8"/>
    <w:rsid w:val="00A17F78"/>
    <w:rsid w:val="00A217B1"/>
    <w:rsid w:val="00A226D6"/>
    <w:rsid w:val="00A2617B"/>
    <w:rsid w:val="00A326C7"/>
    <w:rsid w:val="00A34E4F"/>
    <w:rsid w:val="00A36005"/>
    <w:rsid w:val="00A36F6E"/>
    <w:rsid w:val="00A40FDD"/>
    <w:rsid w:val="00A43B1A"/>
    <w:rsid w:val="00A476E2"/>
    <w:rsid w:val="00A52E27"/>
    <w:rsid w:val="00A66B88"/>
    <w:rsid w:val="00A7059A"/>
    <w:rsid w:val="00A72258"/>
    <w:rsid w:val="00A73CCB"/>
    <w:rsid w:val="00A754BF"/>
    <w:rsid w:val="00A80900"/>
    <w:rsid w:val="00A9256F"/>
    <w:rsid w:val="00A94073"/>
    <w:rsid w:val="00A95724"/>
    <w:rsid w:val="00A97609"/>
    <w:rsid w:val="00A97CC1"/>
    <w:rsid w:val="00AA0964"/>
    <w:rsid w:val="00AA0D73"/>
    <w:rsid w:val="00AB7956"/>
    <w:rsid w:val="00AB7F1E"/>
    <w:rsid w:val="00AC0253"/>
    <w:rsid w:val="00AC5BD9"/>
    <w:rsid w:val="00AC760B"/>
    <w:rsid w:val="00AD0E90"/>
    <w:rsid w:val="00AD267E"/>
    <w:rsid w:val="00AD5950"/>
    <w:rsid w:val="00AE7B09"/>
    <w:rsid w:val="00AF4B02"/>
    <w:rsid w:val="00AF5C38"/>
    <w:rsid w:val="00B01D6A"/>
    <w:rsid w:val="00B0308C"/>
    <w:rsid w:val="00B10E20"/>
    <w:rsid w:val="00B119E0"/>
    <w:rsid w:val="00B13755"/>
    <w:rsid w:val="00B14EDA"/>
    <w:rsid w:val="00B15B26"/>
    <w:rsid w:val="00B15EA7"/>
    <w:rsid w:val="00B218BF"/>
    <w:rsid w:val="00B27FD9"/>
    <w:rsid w:val="00B30A58"/>
    <w:rsid w:val="00B33E1B"/>
    <w:rsid w:val="00B35FBA"/>
    <w:rsid w:val="00B35FD4"/>
    <w:rsid w:val="00B40022"/>
    <w:rsid w:val="00B40969"/>
    <w:rsid w:val="00B4789A"/>
    <w:rsid w:val="00B51B53"/>
    <w:rsid w:val="00B527C6"/>
    <w:rsid w:val="00B63983"/>
    <w:rsid w:val="00B66459"/>
    <w:rsid w:val="00B7027A"/>
    <w:rsid w:val="00B719FD"/>
    <w:rsid w:val="00B71B7E"/>
    <w:rsid w:val="00B73D60"/>
    <w:rsid w:val="00B7675B"/>
    <w:rsid w:val="00B80918"/>
    <w:rsid w:val="00B81709"/>
    <w:rsid w:val="00B82529"/>
    <w:rsid w:val="00B91227"/>
    <w:rsid w:val="00B94D4D"/>
    <w:rsid w:val="00B9576A"/>
    <w:rsid w:val="00B959E0"/>
    <w:rsid w:val="00B9605D"/>
    <w:rsid w:val="00B96F7F"/>
    <w:rsid w:val="00B97D08"/>
    <w:rsid w:val="00BA2FE9"/>
    <w:rsid w:val="00BB2C8E"/>
    <w:rsid w:val="00BB3836"/>
    <w:rsid w:val="00BC6F6D"/>
    <w:rsid w:val="00BC79AA"/>
    <w:rsid w:val="00BC7BE2"/>
    <w:rsid w:val="00BD01DA"/>
    <w:rsid w:val="00BD1DC0"/>
    <w:rsid w:val="00BD70E0"/>
    <w:rsid w:val="00BE1D4B"/>
    <w:rsid w:val="00BE2BF0"/>
    <w:rsid w:val="00BE491C"/>
    <w:rsid w:val="00BE4F1C"/>
    <w:rsid w:val="00BE6F0A"/>
    <w:rsid w:val="00BE7278"/>
    <w:rsid w:val="00BE7B71"/>
    <w:rsid w:val="00BF2E9E"/>
    <w:rsid w:val="00BF4819"/>
    <w:rsid w:val="00BF5021"/>
    <w:rsid w:val="00BF6960"/>
    <w:rsid w:val="00C00573"/>
    <w:rsid w:val="00C01D6D"/>
    <w:rsid w:val="00C0394B"/>
    <w:rsid w:val="00C101D8"/>
    <w:rsid w:val="00C15724"/>
    <w:rsid w:val="00C16678"/>
    <w:rsid w:val="00C21599"/>
    <w:rsid w:val="00C244B2"/>
    <w:rsid w:val="00C30868"/>
    <w:rsid w:val="00C32403"/>
    <w:rsid w:val="00C34D32"/>
    <w:rsid w:val="00C41372"/>
    <w:rsid w:val="00C41FD7"/>
    <w:rsid w:val="00C6082A"/>
    <w:rsid w:val="00C61509"/>
    <w:rsid w:val="00C62C53"/>
    <w:rsid w:val="00C64768"/>
    <w:rsid w:val="00C71158"/>
    <w:rsid w:val="00C71A97"/>
    <w:rsid w:val="00C736F6"/>
    <w:rsid w:val="00C81FCB"/>
    <w:rsid w:val="00C829CC"/>
    <w:rsid w:val="00C91212"/>
    <w:rsid w:val="00C92BC1"/>
    <w:rsid w:val="00C96435"/>
    <w:rsid w:val="00CA25E8"/>
    <w:rsid w:val="00CA2731"/>
    <w:rsid w:val="00CA4BB0"/>
    <w:rsid w:val="00CA7053"/>
    <w:rsid w:val="00CB4172"/>
    <w:rsid w:val="00CB57AB"/>
    <w:rsid w:val="00CB6D1B"/>
    <w:rsid w:val="00CB77B1"/>
    <w:rsid w:val="00CC2A43"/>
    <w:rsid w:val="00CC36AC"/>
    <w:rsid w:val="00CC5AAE"/>
    <w:rsid w:val="00CC7CB2"/>
    <w:rsid w:val="00CD017B"/>
    <w:rsid w:val="00CD0859"/>
    <w:rsid w:val="00CD2493"/>
    <w:rsid w:val="00CD55EC"/>
    <w:rsid w:val="00CE36B7"/>
    <w:rsid w:val="00CE41F5"/>
    <w:rsid w:val="00CE4391"/>
    <w:rsid w:val="00CF0D9C"/>
    <w:rsid w:val="00CF2FB6"/>
    <w:rsid w:val="00CF4250"/>
    <w:rsid w:val="00CF49DA"/>
    <w:rsid w:val="00CF5AE8"/>
    <w:rsid w:val="00CF67B5"/>
    <w:rsid w:val="00CF67E8"/>
    <w:rsid w:val="00CF7C5F"/>
    <w:rsid w:val="00D02236"/>
    <w:rsid w:val="00D046D2"/>
    <w:rsid w:val="00D06468"/>
    <w:rsid w:val="00D1017D"/>
    <w:rsid w:val="00D11282"/>
    <w:rsid w:val="00D11D55"/>
    <w:rsid w:val="00D14569"/>
    <w:rsid w:val="00D15B0F"/>
    <w:rsid w:val="00D22AEF"/>
    <w:rsid w:val="00D25096"/>
    <w:rsid w:val="00D2614B"/>
    <w:rsid w:val="00D3035E"/>
    <w:rsid w:val="00D30B4B"/>
    <w:rsid w:val="00D31FD3"/>
    <w:rsid w:val="00D3496C"/>
    <w:rsid w:val="00D3643E"/>
    <w:rsid w:val="00D40841"/>
    <w:rsid w:val="00D411DB"/>
    <w:rsid w:val="00D452EA"/>
    <w:rsid w:val="00D53BE1"/>
    <w:rsid w:val="00D57ABE"/>
    <w:rsid w:val="00D60D0A"/>
    <w:rsid w:val="00D63034"/>
    <w:rsid w:val="00D664DF"/>
    <w:rsid w:val="00D72C48"/>
    <w:rsid w:val="00D7572D"/>
    <w:rsid w:val="00D76EC7"/>
    <w:rsid w:val="00D806F7"/>
    <w:rsid w:val="00D84E57"/>
    <w:rsid w:val="00D90E8B"/>
    <w:rsid w:val="00D964B6"/>
    <w:rsid w:val="00DA06CF"/>
    <w:rsid w:val="00DA2107"/>
    <w:rsid w:val="00DA482F"/>
    <w:rsid w:val="00DA4F8D"/>
    <w:rsid w:val="00DA567B"/>
    <w:rsid w:val="00DA700A"/>
    <w:rsid w:val="00DB10DE"/>
    <w:rsid w:val="00DC076C"/>
    <w:rsid w:val="00DC0BCD"/>
    <w:rsid w:val="00DC63EA"/>
    <w:rsid w:val="00DC7755"/>
    <w:rsid w:val="00DD0776"/>
    <w:rsid w:val="00DD2D10"/>
    <w:rsid w:val="00DD493A"/>
    <w:rsid w:val="00DE0BA7"/>
    <w:rsid w:val="00DE6E8C"/>
    <w:rsid w:val="00DF1B60"/>
    <w:rsid w:val="00DF64FE"/>
    <w:rsid w:val="00DF70DD"/>
    <w:rsid w:val="00E05CBD"/>
    <w:rsid w:val="00E0685D"/>
    <w:rsid w:val="00E133C1"/>
    <w:rsid w:val="00E13A22"/>
    <w:rsid w:val="00E22023"/>
    <w:rsid w:val="00E24F4A"/>
    <w:rsid w:val="00E24F6C"/>
    <w:rsid w:val="00E25FBD"/>
    <w:rsid w:val="00E26554"/>
    <w:rsid w:val="00E27C54"/>
    <w:rsid w:val="00E33DFC"/>
    <w:rsid w:val="00E36DC0"/>
    <w:rsid w:val="00E37A28"/>
    <w:rsid w:val="00E40C11"/>
    <w:rsid w:val="00E504F9"/>
    <w:rsid w:val="00E5307C"/>
    <w:rsid w:val="00E5314E"/>
    <w:rsid w:val="00E538A2"/>
    <w:rsid w:val="00E61DCA"/>
    <w:rsid w:val="00E65FF2"/>
    <w:rsid w:val="00E67113"/>
    <w:rsid w:val="00E67390"/>
    <w:rsid w:val="00E71726"/>
    <w:rsid w:val="00E732A5"/>
    <w:rsid w:val="00E757CD"/>
    <w:rsid w:val="00E76293"/>
    <w:rsid w:val="00E773EF"/>
    <w:rsid w:val="00E824E1"/>
    <w:rsid w:val="00E841D0"/>
    <w:rsid w:val="00E84CB6"/>
    <w:rsid w:val="00E8759A"/>
    <w:rsid w:val="00E915A7"/>
    <w:rsid w:val="00E934B9"/>
    <w:rsid w:val="00E9363B"/>
    <w:rsid w:val="00E966EE"/>
    <w:rsid w:val="00EA0D8E"/>
    <w:rsid w:val="00EA4ECB"/>
    <w:rsid w:val="00EA78F0"/>
    <w:rsid w:val="00EB0365"/>
    <w:rsid w:val="00EB1D83"/>
    <w:rsid w:val="00EB210F"/>
    <w:rsid w:val="00EB3AB1"/>
    <w:rsid w:val="00EC2261"/>
    <w:rsid w:val="00ED09EC"/>
    <w:rsid w:val="00ED2B43"/>
    <w:rsid w:val="00EE161E"/>
    <w:rsid w:val="00EE26EB"/>
    <w:rsid w:val="00EE2B73"/>
    <w:rsid w:val="00EF0326"/>
    <w:rsid w:val="00EF0F0F"/>
    <w:rsid w:val="00EF712F"/>
    <w:rsid w:val="00F0048F"/>
    <w:rsid w:val="00F01F55"/>
    <w:rsid w:val="00F141A9"/>
    <w:rsid w:val="00F1772D"/>
    <w:rsid w:val="00F22C55"/>
    <w:rsid w:val="00F270CF"/>
    <w:rsid w:val="00F301E8"/>
    <w:rsid w:val="00F323E3"/>
    <w:rsid w:val="00F33FD6"/>
    <w:rsid w:val="00F34D29"/>
    <w:rsid w:val="00F35C2C"/>
    <w:rsid w:val="00F44F0C"/>
    <w:rsid w:val="00F45974"/>
    <w:rsid w:val="00F45EFD"/>
    <w:rsid w:val="00F51B8A"/>
    <w:rsid w:val="00F53A4B"/>
    <w:rsid w:val="00F64D16"/>
    <w:rsid w:val="00F65B50"/>
    <w:rsid w:val="00F66697"/>
    <w:rsid w:val="00F66D00"/>
    <w:rsid w:val="00F67B3D"/>
    <w:rsid w:val="00F733D2"/>
    <w:rsid w:val="00F867C5"/>
    <w:rsid w:val="00F87CF1"/>
    <w:rsid w:val="00F906DF"/>
    <w:rsid w:val="00F934DE"/>
    <w:rsid w:val="00F941F7"/>
    <w:rsid w:val="00F95832"/>
    <w:rsid w:val="00F9693E"/>
    <w:rsid w:val="00F973AF"/>
    <w:rsid w:val="00F9745A"/>
    <w:rsid w:val="00FA5CE9"/>
    <w:rsid w:val="00FA6695"/>
    <w:rsid w:val="00FA794C"/>
    <w:rsid w:val="00FB1C77"/>
    <w:rsid w:val="00FB3E54"/>
    <w:rsid w:val="00FB3F6A"/>
    <w:rsid w:val="00FB6F1F"/>
    <w:rsid w:val="00FC749F"/>
    <w:rsid w:val="00FD2905"/>
    <w:rsid w:val="00FE1CEA"/>
    <w:rsid w:val="00FE3C8E"/>
    <w:rsid w:val="00FE3E86"/>
    <w:rsid w:val="00FE4490"/>
    <w:rsid w:val="00FE51F2"/>
    <w:rsid w:val="00FE52AD"/>
    <w:rsid w:val="00FE5547"/>
    <w:rsid w:val="00FE5CB2"/>
    <w:rsid w:val="00FF15E9"/>
    <w:rsid w:val="00FF6973"/>
    <w:rsid w:val="7C71426E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35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link w:val="26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  <w:lang w:val="zh-CN" w:eastAsia="zh-CN"/>
    </w:rPr>
  </w:style>
  <w:style w:type="paragraph" w:styleId="3">
    <w:name w:val="heading 2"/>
    <w:basedOn w:val="1"/>
    <w:next w:val="1"/>
    <w:link w:val="27"/>
    <w:autoRedefine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kern w:val="0"/>
      <w:sz w:val="32"/>
      <w:szCs w:val="32"/>
      <w:lang w:val="zh-CN" w:eastAsia="zh-CN"/>
    </w:rPr>
  </w:style>
  <w:style w:type="paragraph" w:styleId="4">
    <w:name w:val="heading 3"/>
    <w:basedOn w:val="1"/>
    <w:next w:val="1"/>
    <w:link w:val="23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kern w:val="0"/>
      <w:sz w:val="32"/>
      <w:szCs w:val="32"/>
      <w:lang w:val="zh-CN" w:eastAsia="zh-CN"/>
    </w:rPr>
  </w:style>
  <w:style w:type="paragraph" w:styleId="5">
    <w:name w:val="heading 4"/>
    <w:basedOn w:val="1"/>
    <w:next w:val="1"/>
    <w:link w:val="33"/>
    <w:semiHidden/>
    <w:unhideWhenUsed/>
    <w:qFormat/>
    <w:uiPriority w:val="0"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kern w:val="0"/>
      <w:sz w:val="28"/>
      <w:szCs w:val="28"/>
      <w:lang w:val="zh-CN" w:eastAsia="zh-CN"/>
    </w:rPr>
  </w:style>
  <w:style w:type="character" w:default="1" w:styleId="19">
    <w:name w:val="Default Paragraph Font"/>
    <w:autoRedefine/>
    <w:semiHidden/>
    <w:unhideWhenUsed/>
    <w:qFormat/>
    <w:uiPriority w:val="1"/>
  </w:style>
  <w:style w:type="table" w:default="1" w:styleId="1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Document Map"/>
    <w:basedOn w:val="1"/>
    <w:autoRedefine/>
    <w:qFormat/>
    <w:uiPriority w:val="0"/>
    <w:pPr>
      <w:shd w:val="clear" w:color="auto" w:fill="000080"/>
    </w:pPr>
  </w:style>
  <w:style w:type="paragraph" w:styleId="7">
    <w:name w:val="annotation text"/>
    <w:basedOn w:val="1"/>
    <w:autoRedefine/>
    <w:qFormat/>
    <w:uiPriority w:val="0"/>
    <w:pPr>
      <w:jc w:val="left"/>
    </w:pPr>
  </w:style>
  <w:style w:type="paragraph" w:styleId="8">
    <w:name w:val="Date"/>
    <w:basedOn w:val="1"/>
    <w:next w:val="1"/>
    <w:link w:val="48"/>
    <w:uiPriority w:val="0"/>
    <w:rPr>
      <w:rFonts w:ascii="宋体"/>
      <w:sz w:val="32"/>
      <w:lang w:val="zh-CN" w:eastAsia="zh-CN"/>
    </w:rPr>
  </w:style>
  <w:style w:type="paragraph" w:styleId="9">
    <w:name w:val="Balloon Text"/>
    <w:basedOn w:val="1"/>
    <w:autoRedefine/>
    <w:qFormat/>
    <w:uiPriority w:val="0"/>
    <w:rPr>
      <w:sz w:val="18"/>
      <w:szCs w:val="18"/>
    </w:rPr>
  </w:style>
  <w:style w:type="paragraph" w:styleId="10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1">
    <w:name w:val="header"/>
    <w:basedOn w:val="1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2">
    <w:name w:val="Subtitle"/>
    <w:basedOn w:val="3"/>
    <w:next w:val="4"/>
    <w:link w:val="25"/>
    <w:qFormat/>
    <w:uiPriority w:val="0"/>
    <w:pPr>
      <w:spacing w:before="240" w:after="60" w:line="312" w:lineRule="auto"/>
      <w:jc w:val="left"/>
    </w:pPr>
    <w:rPr>
      <w:bCs w:val="0"/>
      <w:kern w:val="28"/>
      <w:sz w:val="24"/>
    </w:rPr>
  </w:style>
  <w:style w:type="paragraph" w:styleId="13">
    <w:name w:val="footnote text"/>
    <w:basedOn w:val="1"/>
    <w:link w:val="47"/>
    <w:autoRedefine/>
    <w:qFormat/>
    <w:uiPriority w:val="0"/>
    <w:pPr>
      <w:snapToGrid w:val="0"/>
      <w:jc w:val="left"/>
    </w:pPr>
    <w:rPr>
      <w:sz w:val="18"/>
      <w:szCs w:val="18"/>
      <w:lang w:val="zh-CN" w:eastAsia="zh-CN"/>
    </w:rPr>
  </w:style>
  <w:style w:type="paragraph" w:styleId="14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styleId="15">
    <w:name w:val="Title"/>
    <w:basedOn w:val="2"/>
    <w:next w:val="3"/>
    <w:link w:val="28"/>
    <w:autoRedefine/>
    <w:qFormat/>
    <w:uiPriority w:val="10"/>
    <w:pPr>
      <w:keepNext w:val="0"/>
      <w:keepLines w:val="0"/>
      <w:spacing w:before="240" w:after="60" w:line="240" w:lineRule="auto"/>
      <w:jc w:val="center"/>
    </w:pPr>
    <w:rPr>
      <w:rFonts w:ascii="Cambria" w:hAnsi="Cambria"/>
      <w:kern w:val="0"/>
      <w:sz w:val="32"/>
      <w:szCs w:val="32"/>
    </w:rPr>
  </w:style>
  <w:style w:type="paragraph" w:styleId="16">
    <w:name w:val="annotation subject"/>
    <w:basedOn w:val="7"/>
    <w:next w:val="7"/>
    <w:autoRedefine/>
    <w:qFormat/>
    <w:uiPriority w:val="0"/>
    <w:rPr>
      <w:b/>
      <w:bCs/>
    </w:rPr>
  </w:style>
  <w:style w:type="table" w:styleId="18">
    <w:name w:val="Table Grid"/>
    <w:basedOn w:val="17"/>
    <w:autoRedefine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0">
    <w:name w:val="page number"/>
    <w:basedOn w:val="19"/>
    <w:autoRedefine/>
    <w:qFormat/>
    <w:uiPriority w:val="0"/>
  </w:style>
  <w:style w:type="character" w:styleId="21">
    <w:name w:val="annotation reference"/>
    <w:autoRedefine/>
    <w:qFormat/>
    <w:uiPriority w:val="0"/>
    <w:rPr>
      <w:sz w:val="21"/>
      <w:szCs w:val="21"/>
    </w:rPr>
  </w:style>
  <w:style w:type="character" w:styleId="22">
    <w:name w:val="footnote reference"/>
    <w:uiPriority w:val="0"/>
    <w:rPr>
      <w:vertAlign w:val="superscript"/>
    </w:rPr>
  </w:style>
  <w:style w:type="character" w:customStyle="1" w:styleId="23">
    <w:name w:val="标题 3 Char"/>
    <w:link w:val="4"/>
    <w:autoRedefine/>
    <w:qFormat/>
    <w:uiPriority w:val="9"/>
    <w:rPr>
      <w:b/>
      <w:bCs/>
      <w:sz w:val="32"/>
      <w:szCs w:val="32"/>
    </w:rPr>
  </w:style>
  <w:style w:type="character" w:customStyle="1" w:styleId="24">
    <w:name w:val="CODE"/>
    <w:autoRedefine/>
    <w:qFormat/>
    <w:uiPriority w:val="0"/>
    <w:rPr>
      <w:rFonts w:ascii="Courier New" w:hAnsi="Courier New"/>
      <w:spacing w:val="-10"/>
      <w:sz w:val="20"/>
      <w:lang w:val="en-GB" w:eastAsia="zh-CN"/>
    </w:rPr>
  </w:style>
  <w:style w:type="character" w:customStyle="1" w:styleId="25">
    <w:name w:val="副标题 Char"/>
    <w:link w:val="12"/>
    <w:uiPriority w:val="0"/>
    <w:rPr>
      <w:rFonts w:ascii="Cambria" w:hAnsi="Cambria" w:eastAsia="宋体" w:cs="Times New Roman"/>
      <w:b/>
      <w:kern w:val="28"/>
      <w:sz w:val="24"/>
      <w:szCs w:val="32"/>
    </w:rPr>
  </w:style>
  <w:style w:type="character" w:customStyle="1" w:styleId="26">
    <w:name w:val="标题 1 Char"/>
    <w:link w:val="2"/>
    <w:uiPriority w:val="9"/>
    <w:rPr>
      <w:b/>
      <w:bCs/>
      <w:kern w:val="44"/>
      <w:sz w:val="44"/>
      <w:szCs w:val="44"/>
    </w:rPr>
  </w:style>
  <w:style w:type="character" w:customStyle="1" w:styleId="27">
    <w:name w:val="标题 2 Char"/>
    <w:link w:val="3"/>
    <w:uiPriority w:val="9"/>
    <w:rPr>
      <w:rFonts w:ascii="Cambria" w:hAnsi="Cambria" w:eastAsia="宋体" w:cs="Times New Roman"/>
      <w:b/>
      <w:bCs/>
      <w:sz w:val="32"/>
      <w:szCs w:val="32"/>
    </w:rPr>
  </w:style>
  <w:style w:type="character" w:customStyle="1" w:styleId="28">
    <w:name w:val="标题 Char"/>
    <w:link w:val="15"/>
    <w:uiPriority w:val="10"/>
    <w:rPr>
      <w:rFonts w:ascii="Cambria" w:hAnsi="Cambria" w:cs="Times New Roman"/>
      <w:b/>
      <w:bCs/>
      <w:sz w:val="32"/>
      <w:szCs w:val="32"/>
    </w:rPr>
  </w:style>
  <w:style w:type="paragraph" w:customStyle="1" w:styleId="29">
    <w:name w:val="xl33"/>
    <w:basedOn w:val="1"/>
    <w:autoRedefine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 Unicode MS" w:hAnsi="Arial Unicode MS" w:eastAsia="Arial Unicode MS" w:cs="Arial Unicode MS"/>
      <w:kern w:val="0"/>
      <w:sz w:val="24"/>
    </w:rPr>
  </w:style>
  <w:style w:type="paragraph" w:customStyle="1" w:styleId="30">
    <w:name w:val="Char Char Char Char Char Char1 Char Char Char"/>
    <w:basedOn w:val="1"/>
    <w:autoRedefine/>
    <w:qFormat/>
    <w:uiPriority w:val="0"/>
    <w:pPr>
      <w:autoSpaceDE w:val="0"/>
      <w:autoSpaceDN w:val="0"/>
      <w:adjustRightInd w:val="0"/>
      <w:jc w:val="left"/>
      <w:textAlignment w:val="baseline"/>
    </w:pPr>
    <w:rPr>
      <w:rFonts w:ascii="宋体"/>
      <w:kern w:val="0"/>
      <w:sz w:val="34"/>
    </w:rPr>
  </w:style>
  <w:style w:type="paragraph" w:customStyle="1" w:styleId="31">
    <w:name w:val="次标题"/>
    <w:basedOn w:val="4"/>
    <w:next w:val="1"/>
    <w:autoRedefine/>
    <w:qFormat/>
    <w:uiPriority w:val="0"/>
    <w:pPr>
      <w:jc w:val="left"/>
    </w:pPr>
    <w:rPr>
      <w:rFonts w:ascii="宋体" w:hAnsi="宋体"/>
      <w:sz w:val="24"/>
      <w:szCs w:val="24"/>
    </w:rPr>
  </w:style>
  <w:style w:type="paragraph" w:customStyle="1" w:styleId="32">
    <w:name w:val="Char"/>
    <w:basedOn w:val="1"/>
    <w:autoRedefine/>
    <w:qFormat/>
    <w:uiPriority w:val="0"/>
  </w:style>
  <w:style w:type="character" w:customStyle="1" w:styleId="33">
    <w:name w:val="标题 4 Char"/>
    <w:link w:val="5"/>
    <w:semiHidden/>
    <w:qFormat/>
    <w:uiPriority w:val="0"/>
    <w:rPr>
      <w:rFonts w:ascii="Cambria" w:hAnsi="Cambria" w:eastAsia="宋体" w:cs="Times New Roman"/>
      <w:b/>
      <w:bCs/>
      <w:sz w:val="28"/>
      <w:szCs w:val="28"/>
    </w:rPr>
  </w:style>
  <w:style w:type="paragraph" w:customStyle="1" w:styleId="34">
    <w:name w:val="XBRL标题1"/>
    <w:basedOn w:val="2"/>
    <w:next w:val="3"/>
    <w:autoRedefine/>
    <w:qFormat/>
    <w:uiPriority w:val="0"/>
    <w:pPr>
      <w:spacing w:beforeLines="50" w:afterLines="50" w:line="240" w:lineRule="auto"/>
      <w:jc w:val="center"/>
    </w:pPr>
    <w:rPr>
      <w:rFonts w:ascii="Cambria" w:hAnsi="Cambria"/>
      <w:sz w:val="28"/>
    </w:rPr>
  </w:style>
  <w:style w:type="paragraph" w:customStyle="1" w:styleId="35">
    <w:name w:val="XBRL标题2"/>
    <w:basedOn w:val="12"/>
    <w:next w:val="5"/>
    <w:autoRedefine/>
    <w:qFormat/>
    <w:uiPriority w:val="0"/>
    <w:pPr>
      <w:spacing w:beforeLines="50" w:afterLines="50" w:line="240" w:lineRule="auto"/>
    </w:pPr>
    <w:rPr>
      <w:bCs/>
    </w:rPr>
  </w:style>
  <w:style w:type="paragraph" w:customStyle="1" w:styleId="36">
    <w:name w:val="XBRL标题3"/>
    <w:basedOn w:val="12"/>
    <w:next w:val="5"/>
    <w:autoRedefine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7">
    <w:name w:val="XBRL标题4"/>
    <w:basedOn w:val="12"/>
    <w:next w:val="5"/>
    <w:autoRedefine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8">
    <w:name w:val="XBRL标题5"/>
    <w:basedOn w:val="12"/>
    <w:next w:val="5"/>
    <w:autoRedefine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9">
    <w:name w:val="XBRL标题6"/>
    <w:basedOn w:val="12"/>
    <w:next w:val="5"/>
    <w:autoRedefine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40">
    <w:name w:val="XBRLTitle1"/>
    <w:basedOn w:val="2"/>
    <w:next w:val="3"/>
    <w:autoRedefine/>
    <w:qFormat/>
    <w:uiPriority w:val="0"/>
    <w:pPr>
      <w:numPr>
        <w:ilvl w:val="0"/>
        <w:numId w:val="1"/>
      </w:numPr>
      <w:spacing w:before="156" w:beforeLines="50" w:after="156" w:afterLines="50" w:line="240" w:lineRule="auto"/>
      <w:jc w:val="left"/>
    </w:pPr>
    <w:rPr>
      <w:rFonts w:ascii="Cambria" w:hAnsi="Cambria"/>
      <w:sz w:val="28"/>
    </w:rPr>
  </w:style>
  <w:style w:type="paragraph" w:customStyle="1" w:styleId="41">
    <w:name w:val="XBRLTitle2"/>
    <w:basedOn w:val="12"/>
    <w:next w:val="5"/>
    <w:autoRedefine/>
    <w:qFormat/>
    <w:uiPriority w:val="0"/>
    <w:pPr>
      <w:numPr>
        <w:ilvl w:val="1"/>
        <w:numId w:val="2"/>
      </w:numPr>
      <w:spacing w:beforeLines="50" w:afterLines="50" w:line="240" w:lineRule="auto"/>
    </w:pPr>
    <w:rPr>
      <w:bCs/>
    </w:rPr>
  </w:style>
  <w:style w:type="paragraph" w:customStyle="1" w:styleId="42">
    <w:name w:val="XBRLTitle3"/>
    <w:basedOn w:val="12"/>
    <w:next w:val="5"/>
    <w:autoRedefine/>
    <w:qFormat/>
    <w:uiPriority w:val="0"/>
    <w:pPr>
      <w:numPr>
        <w:ilvl w:val="2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3">
    <w:name w:val="XBRLTitle4"/>
    <w:basedOn w:val="12"/>
    <w:next w:val="5"/>
    <w:autoRedefine/>
    <w:qFormat/>
    <w:uiPriority w:val="0"/>
    <w:pPr>
      <w:numPr>
        <w:ilvl w:val="3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4">
    <w:name w:val="XBRLTitle5"/>
    <w:basedOn w:val="12"/>
    <w:next w:val="5"/>
    <w:autoRedefine/>
    <w:qFormat/>
    <w:uiPriority w:val="0"/>
    <w:pPr>
      <w:numPr>
        <w:ilvl w:val="4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5">
    <w:name w:val="XBRLTitle6"/>
    <w:basedOn w:val="12"/>
    <w:next w:val="5"/>
    <w:qFormat/>
    <w:uiPriority w:val="0"/>
    <w:pPr>
      <w:numPr>
        <w:ilvl w:val="5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6">
    <w:name w:val="Default"/>
    <w:qFormat/>
    <w:uiPriority w:val="0"/>
    <w:pPr>
      <w:widowControl w:val="0"/>
      <w:autoSpaceDE w:val="0"/>
      <w:autoSpaceDN w:val="0"/>
      <w:adjustRightInd w:val="0"/>
    </w:pPr>
    <w:rPr>
      <w:rFonts w:ascii="仿宋" w:hAnsi="仿宋" w:eastAsia="宋体" w:cs="仿宋"/>
      <w:color w:val="000000"/>
      <w:sz w:val="24"/>
      <w:szCs w:val="24"/>
      <w:lang w:val="en-US" w:eastAsia="zh-CN" w:bidi="ar-SA"/>
    </w:rPr>
  </w:style>
  <w:style w:type="character" w:customStyle="1" w:styleId="47">
    <w:name w:val="脚注文本 Char"/>
    <w:link w:val="13"/>
    <w:autoRedefine/>
    <w:uiPriority w:val="0"/>
    <w:rPr>
      <w:kern w:val="2"/>
      <w:sz w:val="18"/>
      <w:szCs w:val="18"/>
    </w:rPr>
  </w:style>
  <w:style w:type="character" w:customStyle="1" w:styleId="48">
    <w:name w:val="日期 Char"/>
    <w:link w:val="8"/>
    <w:autoRedefine/>
    <w:qFormat/>
    <w:uiPriority w:val="0"/>
    <w:rPr>
      <w:rFonts w:ascii="宋体"/>
      <w:kern w:val="2"/>
      <w:sz w:val="32"/>
    </w:rPr>
  </w:style>
  <w:style w:type="paragraph" w:styleId="49">
    <w:name w:val="List Paragraph"/>
    <w:basedOn w:val="1"/>
    <w:autoRedefine/>
    <w:qFormat/>
    <w:uiPriority w:val="34"/>
    <w:pPr>
      <w:ind w:firstLine="420" w:firstLineChars="200"/>
    </w:pPr>
  </w:style>
  <w:style w:type="paragraph" w:customStyle="1" w:styleId="50">
    <w:name w:val="Char1"/>
    <w:basedOn w:val="1"/>
    <w:qFormat/>
    <w:uiPriority w:val="0"/>
  </w:style>
  <w:style w:type="paragraph" w:customStyle="1" w:styleId="51">
    <w:name w:val="xbrltitle2"/>
    <w:basedOn w:val="1"/>
    <w:autoRedefine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Codes\FA&#22806;&#21253;-LU70\WbWeb\TBCoreV2\TBCore.Web\Report\Template\Normal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3EB689-16BA-4565-9A6E-625CBFB7C1C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Company>Lenovo</Company>
  <Pages>5</Pages>
  <Words>314</Words>
  <Characters>1794</Characters>
  <Lines>14</Lines>
  <Paragraphs>4</Paragraphs>
  <TotalTime>0</TotalTime>
  <ScaleCrop>false</ScaleCrop>
  <LinksUpToDate>false</LinksUpToDate>
  <CharactersWithSpaces>2104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2021-04-23T07:42:00Z</dcterms:created>
  <dc:creator>yss</dc:creator>
  <cp:lastModifiedBy>WPS_1683341474</cp:lastModifiedBy>
  <cp:lastPrinted>2411-12-31T16:00:00Z</cp:lastPrinted>
  <dcterms:modified xsi:type="dcterms:W3CDTF">2024-04-26T07:21:14Z</dcterms:modified>
  <dc:title>gongGaoMingCheng</dc:title>
  <cp:revision>50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Generator">
    <vt:lpwstr>NPOI</vt:lpwstr>
  </property>
  <property fmtid="{D5CDD505-2E9C-101B-9397-08002B2CF9AE}" pid="4" name="Generator Version">
    <vt:lpwstr>2.2.1</vt:lpwstr>
  </property>
  <property fmtid="{D5CDD505-2E9C-101B-9397-08002B2CF9AE}" pid="5" name="ICV">
    <vt:lpwstr>E3863A545DF24498BD38AD8CE8354F72_12</vt:lpwstr>
  </property>
</Properties>
</file>