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4"/>
        <w:tabs>
          <w:tab w:val="left" w:pos="949"/>
        </w:tabs>
        <w:spacing w:line="560" w:lineRule="exact"/>
        <w:rPr>
          <w:rFonts w:eastAsia="黑体" w:cs="Times New Roman"/>
          <w:bCs/>
          <w:color w:val="auto"/>
          <w:sz w:val="44"/>
          <w:szCs w:val="44"/>
          <w:lang w:val="zh-CN"/>
        </w:rPr>
      </w:pPr>
      <w:bookmarkStart w:id="138" w:name="_GoBack"/>
      <w:bookmarkEnd w:id="138"/>
    </w:p>
    <w:p>
      <w:pPr>
        <w:pStyle w:val="24"/>
        <w:tabs>
          <w:tab w:val="left" w:pos="949"/>
        </w:tabs>
        <w:spacing w:line="560" w:lineRule="exact"/>
        <w:rPr>
          <w:rFonts w:eastAsia="黑体" w:cs="Times New Roman"/>
          <w:bCs/>
          <w:color w:val="auto"/>
          <w:sz w:val="44"/>
          <w:szCs w:val="44"/>
          <w:lang w:val="zh-CN"/>
        </w:rPr>
      </w:pPr>
    </w:p>
    <w:p>
      <w:pPr>
        <w:pStyle w:val="24"/>
        <w:tabs>
          <w:tab w:val="left" w:pos="949"/>
        </w:tabs>
        <w:spacing w:line="560" w:lineRule="exact"/>
        <w:ind w:left="210" w:leftChars="100"/>
        <w:jc w:val="center"/>
        <w:rPr>
          <w:rFonts w:eastAsia="黑体" w:cs="Times New Roman"/>
          <w:bCs/>
          <w:color w:val="auto"/>
          <w:sz w:val="44"/>
          <w:szCs w:val="44"/>
          <w:lang w:val="zh-CN"/>
        </w:rPr>
      </w:pPr>
    </w:p>
    <w:p>
      <w:pPr>
        <w:pStyle w:val="24"/>
        <w:tabs>
          <w:tab w:val="left" w:pos="949"/>
        </w:tabs>
        <w:spacing w:line="560" w:lineRule="exact"/>
        <w:ind w:left="210" w:leftChars="100"/>
        <w:jc w:val="center"/>
        <w:rPr>
          <w:rFonts w:eastAsia="方正小标宋简体" w:cs="Times New Roman"/>
          <w:sz w:val="44"/>
          <w:szCs w:val="44"/>
        </w:rPr>
      </w:pPr>
      <w:r>
        <w:rPr>
          <w:rFonts w:eastAsia="方正小标宋简体" w:cs="Times New Roman"/>
          <w:sz w:val="44"/>
          <w:szCs w:val="44"/>
        </w:rPr>
        <w:t>浙江安吉农村商业银行股份有限公司</w:t>
      </w:r>
    </w:p>
    <w:p>
      <w:pPr>
        <w:pStyle w:val="24"/>
        <w:tabs>
          <w:tab w:val="left" w:pos="949"/>
        </w:tabs>
        <w:spacing w:line="560" w:lineRule="exact"/>
        <w:ind w:left="210" w:leftChars="100"/>
        <w:jc w:val="center"/>
        <w:rPr>
          <w:rFonts w:eastAsia="方正小标宋简体" w:cs="Times New Roman"/>
          <w:sz w:val="44"/>
          <w:szCs w:val="44"/>
        </w:rPr>
      </w:pPr>
      <w:r>
        <w:rPr>
          <w:rFonts w:eastAsia="方正小标宋简体" w:cs="Times New Roman"/>
          <w:sz w:val="44"/>
          <w:szCs w:val="44"/>
        </w:rPr>
        <w:t>2023年度环境信息披露报告</w:t>
      </w: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eastAsia="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eastAsia="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jc w:val="center"/>
        <w:rPr>
          <w:rFonts w:eastAsia="黑体" w:cs="Times New Roman"/>
          <w:color w:val="auto"/>
          <w:sz w:val="44"/>
          <w:szCs w:val="44"/>
          <w:lang w:val="zh-TW"/>
        </w:rPr>
      </w:pPr>
    </w:p>
    <w:p>
      <w:pPr>
        <w:pStyle w:val="24"/>
        <w:tabs>
          <w:tab w:val="left" w:pos="949"/>
        </w:tabs>
        <w:spacing w:line="560" w:lineRule="exact"/>
        <w:ind w:left="210" w:leftChars="100"/>
        <w:jc w:val="center"/>
        <w:rPr>
          <w:rFonts w:eastAsia="方正小标宋简体" w:cs="Times New Roman"/>
          <w:sz w:val="44"/>
          <w:szCs w:val="44"/>
          <w:lang w:val="zh-TW"/>
        </w:rPr>
      </w:pPr>
      <w:r>
        <w:rPr>
          <w:rFonts w:eastAsia="方正小标宋简体" w:cs="Times New Roman"/>
          <w:sz w:val="44"/>
          <w:szCs w:val="44"/>
          <w:lang w:val="zh-TW"/>
        </w:rPr>
        <w:t>202</w:t>
      </w:r>
      <w:r>
        <w:rPr>
          <w:rFonts w:eastAsia="方正小标宋简体" w:cs="Times New Roman"/>
          <w:sz w:val="44"/>
          <w:szCs w:val="44"/>
        </w:rPr>
        <w:t>4</w:t>
      </w:r>
      <w:r>
        <w:rPr>
          <w:rFonts w:eastAsia="方正小标宋简体" w:cs="Times New Roman"/>
          <w:sz w:val="44"/>
          <w:szCs w:val="44"/>
          <w:lang w:val="zh-TW"/>
        </w:rPr>
        <w:t>年</w:t>
      </w:r>
      <w:r>
        <w:rPr>
          <w:rFonts w:eastAsia="方正小标宋简体" w:cs="Times New Roman"/>
          <w:sz w:val="44"/>
          <w:szCs w:val="44"/>
        </w:rPr>
        <w:t>3</w:t>
      </w:r>
      <w:r>
        <w:rPr>
          <w:rFonts w:eastAsia="方正小标宋简体" w:cs="Times New Roman"/>
          <w:sz w:val="44"/>
          <w:szCs w:val="44"/>
          <w:lang w:val="zh-TW"/>
        </w:rPr>
        <w:t>月</w:t>
      </w:r>
    </w:p>
    <w:p>
      <w:pPr>
        <w:spacing w:line="560" w:lineRule="exact"/>
        <w:jc w:val="center"/>
        <w:rPr>
          <w:b/>
          <w:bCs/>
          <w:sz w:val="44"/>
          <w:szCs w:val="44"/>
          <w:lang w:val="zh-CN"/>
        </w:rPr>
      </w:pPr>
    </w:p>
    <w:p>
      <w:pPr>
        <w:spacing w:line="560" w:lineRule="exact"/>
        <w:jc w:val="center"/>
        <w:rPr>
          <w:b/>
          <w:bCs/>
          <w:sz w:val="44"/>
          <w:szCs w:val="44"/>
          <w:lang w:val="zh-CN"/>
        </w:rPr>
      </w:pPr>
    </w:p>
    <w:p>
      <w:pPr>
        <w:spacing w:line="560" w:lineRule="exact"/>
        <w:jc w:val="center"/>
        <w:rPr>
          <w:b/>
          <w:bCs/>
          <w:sz w:val="44"/>
          <w:szCs w:val="44"/>
          <w:lang w:val="zh-CN"/>
        </w:rPr>
      </w:pPr>
    </w:p>
    <w:p>
      <w:pPr>
        <w:spacing w:line="560" w:lineRule="exact"/>
        <w:rPr>
          <w:b/>
          <w:bCs/>
          <w:sz w:val="44"/>
          <w:szCs w:val="44"/>
          <w:lang w:val="zh-CN"/>
        </w:rPr>
      </w:pPr>
    </w:p>
    <w:p>
      <w:pPr>
        <w:pStyle w:val="43"/>
        <w:spacing w:line="240" w:lineRule="auto"/>
        <w:jc w:val="center"/>
        <w:rPr>
          <w:rFonts w:ascii="Times New Roman" w:hAnsi="Times New Roman"/>
        </w:rPr>
      </w:pPr>
      <w:r>
        <w:fldChar w:fldCharType="begin"/>
      </w:r>
      <w:r>
        <w:instrText xml:space="preserve"> HYPERLINK \l "_Toc22742" </w:instrText>
      </w:r>
      <w:r>
        <w:fldChar w:fldCharType="separate"/>
      </w:r>
      <w:r>
        <w:rPr>
          <w:rFonts w:hint="eastAsia" w:ascii="黑体" w:hAnsi="黑体" w:eastAsia="黑体" w:cs="黑体"/>
          <w:color w:val="auto"/>
          <w:sz w:val="32"/>
          <w:szCs w:val="32"/>
          <w:lang w:val="zh-CN"/>
        </w:rPr>
        <w:t>目录</w:t>
      </w:r>
      <w:r>
        <w:rPr>
          <w:rFonts w:hint="eastAsia" w:ascii="黑体" w:hAnsi="黑体" w:eastAsia="黑体" w:cs="黑体"/>
          <w:color w:val="auto"/>
          <w:sz w:val="32"/>
          <w:szCs w:val="32"/>
          <w:lang w:val="zh-CN"/>
        </w:rPr>
        <w:fldChar w:fldCharType="end"/>
      </w:r>
    </w:p>
    <w:p>
      <w:pPr>
        <w:pStyle w:val="13"/>
        <w:tabs>
          <w:tab w:val="right" w:leader="dot" w:pos="8845"/>
          <w:tab w:val="clear" w:pos="8296"/>
        </w:tabs>
      </w:pPr>
      <w:r>
        <w:fldChar w:fldCharType="begin"/>
      </w:r>
      <w:r>
        <w:instrText xml:space="preserve"> TOC \o "1-3" \h \z \u </w:instrText>
      </w:r>
      <w:r>
        <w:fldChar w:fldCharType="separate"/>
      </w:r>
      <w:r>
        <w:fldChar w:fldCharType="begin"/>
      </w:r>
      <w:r>
        <w:instrText xml:space="preserve"> HYPERLINK \l "_Toc15292" </w:instrText>
      </w:r>
      <w:r>
        <w:fldChar w:fldCharType="separate"/>
      </w:r>
      <w:r>
        <w:rPr>
          <w:rFonts w:hint="eastAsia" w:cs="黑体"/>
          <w:szCs w:val="32"/>
        </w:rPr>
        <w:t>1关于本报告</w:t>
      </w:r>
      <w:r>
        <w:tab/>
      </w:r>
      <w:r>
        <w:fldChar w:fldCharType="begin"/>
      </w:r>
      <w:r>
        <w:instrText xml:space="preserve"> PAGEREF _Toc15292 \h </w:instrText>
      </w:r>
      <w:r>
        <w:fldChar w:fldCharType="separate"/>
      </w:r>
      <w:r>
        <w:t>4</w:t>
      </w:r>
      <w:r>
        <w:fldChar w:fldCharType="end"/>
      </w:r>
      <w:r>
        <w:fldChar w:fldCharType="end"/>
      </w:r>
    </w:p>
    <w:p>
      <w:pPr>
        <w:pStyle w:val="15"/>
        <w:tabs>
          <w:tab w:val="right" w:leader="dot" w:pos="8845"/>
          <w:tab w:val="clear" w:pos="8296"/>
        </w:tabs>
      </w:pPr>
      <w:r>
        <w:fldChar w:fldCharType="begin"/>
      </w:r>
      <w:r>
        <w:instrText xml:space="preserve"> HYPERLINK \l "_Toc434" </w:instrText>
      </w:r>
      <w:r>
        <w:fldChar w:fldCharType="separate"/>
      </w:r>
      <w:r>
        <w:t>1.1涵盖期间 </w:t>
      </w:r>
      <w:r>
        <w:tab/>
      </w:r>
      <w:r>
        <w:fldChar w:fldCharType="begin"/>
      </w:r>
      <w:r>
        <w:instrText xml:space="preserve"> PAGEREF _Toc434 \h </w:instrText>
      </w:r>
      <w:r>
        <w:fldChar w:fldCharType="separate"/>
      </w:r>
      <w:r>
        <w:t>5</w:t>
      </w:r>
      <w:r>
        <w:fldChar w:fldCharType="end"/>
      </w:r>
      <w:r>
        <w:fldChar w:fldCharType="end"/>
      </w:r>
    </w:p>
    <w:p>
      <w:pPr>
        <w:pStyle w:val="15"/>
        <w:tabs>
          <w:tab w:val="right" w:leader="dot" w:pos="8845"/>
          <w:tab w:val="clear" w:pos="8296"/>
        </w:tabs>
      </w:pPr>
      <w:r>
        <w:fldChar w:fldCharType="begin"/>
      </w:r>
      <w:r>
        <w:instrText xml:space="preserve"> HYPERLINK \l "_Toc24237" </w:instrText>
      </w:r>
      <w:r>
        <w:fldChar w:fldCharType="separate"/>
      </w:r>
      <w:r>
        <w:t>1.2报告周期</w:t>
      </w:r>
      <w:r>
        <w:tab/>
      </w:r>
      <w:r>
        <w:fldChar w:fldCharType="begin"/>
      </w:r>
      <w:r>
        <w:instrText xml:space="preserve"> PAGEREF _Toc24237 \h </w:instrText>
      </w:r>
      <w:r>
        <w:fldChar w:fldCharType="separate"/>
      </w:r>
      <w:r>
        <w:t>5</w:t>
      </w:r>
      <w:r>
        <w:fldChar w:fldCharType="end"/>
      </w:r>
      <w:r>
        <w:fldChar w:fldCharType="end"/>
      </w:r>
    </w:p>
    <w:p>
      <w:pPr>
        <w:pStyle w:val="15"/>
        <w:tabs>
          <w:tab w:val="right" w:leader="dot" w:pos="8845"/>
          <w:tab w:val="clear" w:pos="8296"/>
        </w:tabs>
      </w:pPr>
      <w:r>
        <w:fldChar w:fldCharType="begin"/>
      </w:r>
      <w:r>
        <w:instrText xml:space="preserve"> HYPERLINK \l "_Toc22424" </w:instrText>
      </w:r>
      <w:r>
        <w:fldChar w:fldCharType="separate"/>
      </w:r>
      <w:r>
        <w:t>1.3报告范围</w:t>
      </w:r>
      <w:r>
        <w:tab/>
      </w:r>
      <w:r>
        <w:fldChar w:fldCharType="begin"/>
      </w:r>
      <w:r>
        <w:instrText xml:space="preserve"> PAGEREF _Toc22424 \h </w:instrText>
      </w:r>
      <w:r>
        <w:fldChar w:fldCharType="separate"/>
      </w:r>
      <w:r>
        <w:t>5</w:t>
      </w:r>
      <w:r>
        <w:fldChar w:fldCharType="end"/>
      </w:r>
      <w:r>
        <w:fldChar w:fldCharType="end"/>
      </w:r>
    </w:p>
    <w:p>
      <w:pPr>
        <w:pStyle w:val="15"/>
        <w:tabs>
          <w:tab w:val="right" w:leader="dot" w:pos="8845"/>
          <w:tab w:val="clear" w:pos="8296"/>
        </w:tabs>
      </w:pPr>
      <w:r>
        <w:fldChar w:fldCharType="begin"/>
      </w:r>
      <w:r>
        <w:instrText xml:space="preserve"> HYPERLINK \l "_Toc10229" </w:instrText>
      </w:r>
      <w:r>
        <w:fldChar w:fldCharType="separate"/>
      </w:r>
      <w:r>
        <w:t>1.4报告数据说明</w:t>
      </w:r>
      <w:r>
        <w:tab/>
      </w:r>
      <w:r>
        <w:fldChar w:fldCharType="begin"/>
      </w:r>
      <w:r>
        <w:instrText xml:space="preserve"> PAGEREF _Toc10229 \h </w:instrText>
      </w:r>
      <w:r>
        <w:fldChar w:fldCharType="separate"/>
      </w:r>
      <w:r>
        <w:t>5</w:t>
      </w:r>
      <w:r>
        <w:fldChar w:fldCharType="end"/>
      </w:r>
      <w:r>
        <w:fldChar w:fldCharType="end"/>
      </w:r>
    </w:p>
    <w:p>
      <w:pPr>
        <w:pStyle w:val="15"/>
        <w:tabs>
          <w:tab w:val="right" w:leader="dot" w:pos="8845"/>
          <w:tab w:val="clear" w:pos="8296"/>
        </w:tabs>
      </w:pPr>
      <w:r>
        <w:fldChar w:fldCharType="begin"/>
      </w:r>
      <w:r>
        <w:instrText xml:space="preserve"> HYPERLINK \l "_Toc1392" </w:instrText>
      </w:r>
      <w:r>
        <w:fldChar w:fldCharType="separate"/>
      </w:r>
      <w:r>
        <w:t>1.5编制依据</w:t>
      </w:r>
      <w:r>
        <w:tab/>
      </w:r>
      <w:r>
        <w:fldChar w:fldCharType="begin"/>
      </w:r>
      <w:r>
        <w:instrText xml:space="preserve"> PAGEREF _Toc1392 \h </w:instrText>
      </w:r>
      <w:r>
        <w:fldChar w:fldCharType="separate"/>
      </w:r>
      <w:r>
        <w:t>5</w:t>
      </w:r>
      <w:r>
        <w:fldChar w:fldCharType="end"/>
      </w:r>
      <w:r>
        <w:fldChar w:fldCharType="end"/>
      </w:r>
    </w:p>
    <w:p>
      <w:pPr>
        <w:pStyle w:val="13"/>
        <w:tabs>
          <w:tab w:val="right" w:leader="dot" w:pos="8845"/>
          <w:tab w:val="clear" w:pos="8296"/>
        </w:tabs>
      </w:pPr>
      <w:r>
        <w:fldChar w:fldCharType="begin"/>
      </w:r>
      <w:r>
        <w:instrText xml:space="preserve"> HYPERLINK \l "_Toc16760" </w:instrText>
      </w:r>
      <w:r>
        <w:fldChar w:fldCharType="separate"/>
      </w:r>
      <w:r>
        <w:rPr>
          <w:szCs w:val="32"/>
        </w:rPr>
        <w:t>2年度概况</w:t>
      </w:r>
      <w:r>
        <w:tab/>
      </w:r>
      <w:r>
        <w:fldChar w:fldCharType="begin"/>
      </w:r>
      <w:r>
        <w:instrText xml:space="preserve"> PAGEREF _Toc16760 \h </w:instrText>
      </w:r>
      <w:r>
        <w:fldChar w:fldCharType="separate"/>
      </w:r>
      <w:r>
        <w:t>5</w:t>
      </w:r>
      <w:r>
        <w:fldChar w:fldCharType="end"/>
      </w:r>
      <w:r>
        <w:fldChar w:fldCharType="end"/>
      </w:r>
    </w:p>
    <w:p>
      <w:pPr>
        <w:pStyle w:val="15"/>
        <w:tabs>
          <w:tab w:val="right" w:leader="dot" w:pos="8845"/>
          <w:tab w:val="clear" w:pos="8296"/>
        </w:tabs>
      </w:pPr>
      <w:r>
        <w:fldChar w:fldCharType="begin"/>
      </w:r>
      <w:r>
        <w:instrText xml:space="preserve"> HYPERLINK \l "_Toc3942" </w:instrText>
      </w:r>
      <w:r>
        <w:fldChar w:fldCharType="separate"/>
      </w:r>
      <w:r>
        <w:t>2.1总体概况</w:t>
      </w:r>
      <w:r>
        <w:tab/>
      </w:r>
      <w:r>
        <w:fldChar w:fldCharType="begin"/>
      </w:r>
      <w:r>
        <w:instrText xml:space="preserve"> PAGEREF _Toc3942 \h </w:instrText>
      </w:r>
      <w:r>
        <w:fldChar w:fldCharType="separate"/>
      </w:r>
      <w:r>
        <w:t>5</w:t>
      </w:r>
      <w:r>
        <w:fldChar w:fldCharType="end"/>
      </w:r>
      <w:r>
        <w:fldChar w:fldCharType="end"/>
      </w:r>
    </w:p>
    <w:p>
      <w:pPr>
        <w:pStyle w:val="15"/>
        <w:tabs>
          <w:tab w:val="right" w:leader="dot" w:pos="8845"/>
          <w:tab w:val="clear" w:pos="8296"/>
        </w:tabs>
      </w:pPr>
      <w:r>
        <w:fldChar w:fldCharType="begin"/>
      </w:r>
      <w:r>
        <w:instrText xml:space="preserve"> HYPERLINK \l "_Toc24893" </w:instrText>
      </w:r>
      <w:r>
        <w:fldChar w:fldCharType="separate"/>
      </w:r>
      <w:r>
        <w:t>2.1.1</w:t>
      </w:r>
      <w:r>
        <w:rPr>
          <w:rFonts w:hint="eastAsia"/>
        </w:rPr>
        <w:t>推进</w:t>
      </w:r>
      <w:r>
        <w:t>“碳中和”银行建设</w:t>
      </w:r>
      <w:r>
        <w:tab/>
      </w:r>
      <w:r>
        <w:fldChar w:fldCharType="begin"/>
      </w:r>
      <w:r>
        <w:instrText xml:space="preserve"> PAGEREF _Toc24893 \h </w:instrText>
      </w:r>
      <w:r>
        <w:fldChar w:fldCharType="separate"/>
      </w:r>
      <w:r>
        <w:t>6</w:t>
      </w:r>
      <w:r>
        <w:fldChar w:fldCharType="end"/>
      </w:r>
      <w:r>
        <w:fldChar w:fldCharType="end"/>
      </w:r>
    </w:p>
    <w:p>
      <w:pPr>
        <w:pStyle w:val="15"/>
        <w:tabs>
          <w:tab w:val="right" w:leader="dot" w:pos="8845"/>
          <w:tab w:val="clear" w:pos="8296"/>
        </w:tabs>
      </w:pPr>
      <w:r>
        <w:fldChar w:fldCharType="begin"/>
      </w:r>
      <w:r>
        <w:instrText xml:space="preserve"> HYPERLINK \l "_Toc8685" </w:instrText>
      </w:r>
      <w:r>
        <w:fldChar w:fldCharType="separate"/>
      </w:r>
      <w:r>
        <w:t>2.1.2</w:t>
      </w:r>
      <w:r>
        <w:rPr>
          <w:rFonts w:hint="eastAsia"/>
        </w:rPr>
        <w:t>完善产品服务体系</w:t>
      </w:r>
      <w:r>
        <w:tab/>
      </w:r>
      <w:r>
        <w:fldChar w:fldCharType="begin"/>
      </w:r>
      <w:r>
        <w:instrText xml:space="preserve"> PAGEREF _Toc8685 \h </w:instrText>
      </w:r>
      <w:r>
        <w:fldChar w:fldCharType="separate"/>
      </w:r>
      <w:r>
        <w:t>6</w:t>
      </w:r>
      <w:r>
        <w:fldChar w:fldCharType="end"/>
      </w:r>
      <w:r>
        <w:fldChar w:fldCharType="end"/>
      </w:r>
    </w:p>
    <w:p>
      <w:pPr>
        <w:pStyle w:val="15"/>
        <w:tabs>
          <w:tab w:val="right" w:leader="dot" w:pos="8845"/>
          <w:tab w:val="clear" w:pos="8296"/>
        </w:tabs>
      </w:pPr>
      <w:r>
        <w:fldChar w:fldCharType="begin"/>
      </w:r>
      <w:r>
        <w:instrText xml:space="preserve"> HYPERLINK \l "_Toc6836" </w:instrText>
      </w:r>
      <w:r>
        <w:fldChar w:fldCharType="separate"/>
      </w:r>
      <w:r>
        <w:t>2.1.</w:t>
      </w:r>
      <w:r>
        <w:rPr>
          <w:rFonts w:hint="eastAsia"/>
        </w:rPr>
        <w:t>3</w:t>
      </w:r>
      <w:r>
        <w:t>提升自身能力建设</w:t>
      </w:r>
      <w:r>
        <w:tab/>
      </w:r>
      <w:r>
        <w:fldChar w:fldCharType="begin"/>
      </w:r>
      <w:r>
        <w:instrText xml:space="preserve"> PAGEREF _Toc6836 \h </w:instrText>
      </w:r>
      <w:r>
        <w:fldChar w:fldCharType="separate"/>
      </w:r>
      <w:r>
        <w:t>6</w:t>
      </w:r>
      <w:r>
        <w:fldChar w:fldCharType="end"/>
      </w:r>
      <w:r>
        <w:fldChar w:fldCharType="end"/>
      </w:r>
    </w:p>
    <w:p>
      <w:pPr>
        <w:pStyle w:val="15"/>
        <w:tabs>
          <w:tab w:val="right" w:leader="dot" w:pos="8845"/>
          <w:tab w:val="clear" w:pos="8296"/>
        </w:tabs>
      </w:pPr>
      <w:r>
        <w:fldChar w:fldCharType="begin"/>
      </w:r>
      <w:r>
        <w:instrText xml:space="preserve"> HYPERLINK \l "_Toc19288" </w:instrText>
      </w:r>
      <w:r>
        <w:fldChar w:fldCharType="separate"/>
      </w:r>
      <w:r>
        <w:rPr>
          <w:rFonts w:hint="eastAsia"/>
        </w:rPr>
        <w:t>2.1.4</w:t>
      </w:r>
      <w:r>
        <w:t>开展相关交流活动</w:t>
      </w:r>
      <w:r>
        <w:tab/>
      </w:r>
      <w:r>
        <w:fldChar w:fldCharType="begin"/>
      </w:r>
      <w:r>
        <w:instrText xml:space="preserve"> PAGEREF _Toc19288 \h </w:instrText>
      </w:r>
      <w:r>
        <w:fldChar w:fldCharType="separate"/>
      </w:r>
      <w:r>
        <w:t>7</w:t>
      </w:r>
      <w:r>
        <w:fldChar w:fldCharType="end"/>
      </w:r>
      <w:r>
        <w:fldChar w:fldCharType="end"/>
      </w:r>
    </w:p>
    <w:p>
      <w:pPr>
        <w:pStyle w:val="15"/>
        <w:tabs>
          <w:tab w:val="right" w:leader="dot" w:pos="8845"/>
          <w:tab w:val="clear" w:pos="8296"/>
        </w:tabs>
      </w:pPr>
      <w:r>
        <w:fldChar w:fldCharType="begin"/>
      </w:r>
      <w:r>
        <w:instrText xml:space="preserve"> HYPERLINK \l "_Toc625" </w:instrText>
      </w:r>
      <w:r>
        <w:fldChar w:fldCharType="separate"/>
      </w:r>
      <w:r>
        <w:t>2.2关键成果绩效</w:t>
      </w:r>
      <w:r>
        <w:tab/>
      </w:r>
      <w:r>
        <w:fldChar w:fldCharType="begin"/>
      </w:r>
      <w:r>
        <w:instrText xml:space="preserve"> PAGEREF _Toc625 \h </w:instrText>
      </w:r>
      <w:r>
        <w:fldChar w:fldCharType="separate"/>
      </w:r>
      <w:r>
        <w:t>7</w:t>
      </w:r>
      <w:r>
        <w:fldChar w:fldCharType="end"/>
      </w:r>
      <w:r>
        <w:fldChar w:fldCharType="end"/>
      </w:r>
    </w:p>
    <w:p>
      <w:pPr>
        <w:pStyle w:val="15"/>
        <w:tabs>
          <w:tab w:val="right" w:leader="dot" w:pos="8845"/>
          <w:tab w:val="clear" w:pos="8296"/>
        </w:tabs>
      </w:pPr>
      <w:r>
        <w:fldChar w:fldCharType="begin"/>
      </w:r>
      <w:r>
        <w:instrText xml:space="preserve"> HYPERLINK \l "_Toc3635" </w:instrText>
      </w:r>
      <w:r>
        <w:fldChar w:fldCharType="separate"/>
      </w:r>
      <w:r>
        <w:t>2.2.1绿色金融业务情况</w:t>
      </w:r>
      <w:r>
        <w:tab/>
      </w:r>
      <w:r>
        <w:fldChar w:fldCharType="begin"/>
      </w:r>
      <w:r>
        <w:instrText xml:space="preserve"> PAGEREF _Toc3635 \h </w:instrText>
      </w:r>
      <w:r>
        <w:fldChar w:fldCharType="separate"/>
      </w:r>
      <w:r>
        <w:t>7</w:t>
      </w:r>
      <w:r>
        <w:fldChar w:fldCharType="end"/>
      </w:r>
      <w:r>
        <w:fldChar w:fldCharType="end"/>
      </w:r>
    </w:p>
    <w:p>
      <w:pPr>
        <w:pStyle w:val="15"/>
        <w:tabs>
          <w:tab w:val="right" w:leader="dot" w:pos="8845"/>
          <w:tab w:val="clear" w:pos="8296"/>
        </w:tabs>
      </w:pPr>
      <w:r>
        <w:fldChar w:fldCharType="begin"/>
      </w:r>
      <w:r>
        <w:instrText xml:space="preserve"> HYPERLINK \l "_Toc5303" </w:instrText>
      </w:r>
      <w:r>
        <w:fldChar w:fldCharType="separate"/>
      </w:r>
      <w:r>
        <w:t>2.2.2绿色办公运营情况</w:t>
      </w:r>
      <w:r>
        <w:tab/>
      </w:r>
      <w:r>
        <w:fldChar w:fldCharType="begin"/>
      </w:r>
      <w:r>
        <w:instrText xml:space="preserve"> PAGEREF _Toc5303 \h </w:instrText>
      </w:r>
      <w:r>
        <w:fldChar w:fldCharType="separate"/>
      </w:r>
      <w:r>
        <w:t>8</w:t>
      </w:r>
      <w:r>
        <w:fldChar w:fldCharType="end"/>
      </w:r>
      <w:r>
        <w:fldChar w:fldCharType="end"/>
      </w:r>
    </w:p>
    <w:p>
      <w:pPr>
        <w:pStyle w:val="15"/>
        <w:tabs>
          <w:tab w:val="right" w:leader="dot" w:pos="8845"/>
          <w:tab w:val="clear" w:pos="8296"/>
        </w:tabs>
      </w:pPr>
      <w:r>
        <w:fldChar w:fldCharType="begin"/>
      </w:r>
      <w:r>
        <w:instrText xml:space="preserve"> HYPERLINK \l "_Toc27263" </w:instrText>
      </w:r>
      <w:r>
        <w:fldChar w:fldCharType="separate"/>
      </w:r>
      <w:r>
        <w:t>2.3规划与目标</w:t>
      </w:r>
      <w:r>
        <w:tab/>
      </w:r>
      <w:r>
        <w:fldChar w:fldCharType="begin"/>
      </w:r>
      <w:r>
        <w:instrText xml:space="preserve"> PAGEREF _Toc27263 \h </w:instrText>
      </w:r>
      <w:r>
        <w:fldChar w:fldCharType="separate"/>
      </w:r>
      <w:r>
        <w:t>8</w:t>
      </w:r>
      <w:r>
        <w:fldChar w:fldCharType="end"/>
      </w:r>
      <w:r>
        <w:fldChar w:fldCharType="end"/>
      </w:r>
    </w:p>
    <w:p>
      <w:pPr>
        <w:pStyle w:val="15"/>
        <w:tabs>
          <w:tab w:val="right" w:leader="dot" w:pos="8845"/>
          <w:tab w:val="clear" w:pos="8296"/>
        </w:tabs>
      </w:pPr>
      <w:r>
        <w:fldChar w:fldCharType="begin"/>
      </w:r>
      <w:r>
        <w:instrText xml:space="preserve"> HYPERLINK \l "_Toc14624" </w:instrText>
      </w:r>
      <w:r>
        <w:fldChar w:fldCharType="separate"/>
      </w:r>
      <w:r>
        <w:t>2.3.1经营目标</w:t>
      </w:r>
      <w:r>
        <w:tab/>
      </w:r>
      <w:r>
        <w:fldChar w:fldCharType="begin"/>
      </w:r>
      <w:r>
        <w:instrText xml:space="preserve"> PAGEREF _Toc14624 \h </w:instrText>
      </w:r>
      <w:r>
        <w:fldChar w:fldCharType="separate"/>
      </w:r>
      <w:r>
        <w:t>8</w:t>
      </w:r>
      <w:r>
        <w:fldChar w:fldCharType="end"/>
      </w:r>
      <w:r>
        <w:fldChar w:fldCharType="end"/>
      </w:r>
    </w:p>
    <w:p>
      <w:pPr>
        <w:pStyle w:val="15"/>
        <w:tabs>
          <w:tab w:val="right" w:leader="dot" w:pos="8845"/>
          <w:tab w:val="clear" w:pos="8296"/>
        </w:tabs>
      </w:pPr>
      <w:r>
        <w:fldChar w:fldCharType="begin"/>
      </w:r>
      <w:r>
        <w:instrText xml:space="preserve"> HYPERLINK \l "_Toc31106" </w:instrText>
      </w:r>
      <w:r>
        <w:fldChar w:fldCharType="separate"/>
      </w:r>
      <w:r>
        <w:t>2.3.2运营目标</w:t>
      </w:r>
      <w:r>
        <w:tab/>
      </w:r>
      <w:r>
        <w:fldChar w:fldCharType="begin"/>
      </w:r>
      <w:r>
        <w:instrText xml:space="preserve"> PAGEREF _Toc31106 \h </w:instrText>
      </w:r>
      <w:r>
        <w:fldChar w:fldCharType="separate"/>
      </w:r>
      <w:r>
        <w:t>9</w:t>
      </w:r>
      <w:r>
        <w:fldChar w:fldCharType="end"/>
      </w:r>
      <w:r>
        <w:fldChar w:fldCharType="end"/>
      </w:r>
    </w:p>
    <w:p>
      <w:pPr>
        <w:pStyle w:val="13"/>
        <w:tabs>
          <w:tab w:val="right" w:leader="dot" w:pos="8845"/>
          <w:tab w:val="clear" w:pos="8296"/>
        </w:tabs>
      </w:pPr>
      <w:r>
        <w:fldChar w:fldCharType="begin"/>
      </w:r>
      <w:r>
        <w:instrText xml:space="preserve"> HYPERLINK \l "_Toc7935" </w:instrText>
      </w:r>
      <w:r>
        <w:fldChar w:fldCharType="separate"/>
      </w:r>
      <w:r>
        <w:rPr>
          <w:szCs w:val="32"/>
        </w:rPr>
        <w:t>3环境相关治理结构</w:t>
      </w:r>
      <w:r>
        <w:tab/>
      </w:r>
      <w:r>
        <w:fldChar w:fldCharType="begin"/>
      </w:r>
      <w:r>
        <w:instrText xml:space="preserve"> PAGEREF _Toc7935 \h </w:instrText>
      </w:r>
      <w:r>
        <w:fldChar w:fldCharType="separate"/>
      </w:r>
      <w:r>
        <w:t>9</w:t>
      </w:r>
      <w:r>
        <w:fldChar w:fldCharType="end"/>
      </w:r>
      <w:r>
        <w:fldChar w:fldCharType="end"/>
      </w:r>
    </w:p>
    <w:p>
      <w:pPr>
        <w:pStyle w:val="15"/>
        <w:tabs>
          <w:tab w:val="right" w:leader="dot" w:pos="8845"/>
          <w:tab w:val="clear" w:pos="8296"/>
        </w:tabs>
      </w:pPr>
      <w:r>
        <w:fldChar w:fldCharType="begin"/>
      </w:r>
      <w:r>
        <w:instrText xml:space="preserve"> HYPERLINK \l "_Toc30796" </w:instrText>
      </w:r>
      <w:r>
        <w:fldChar w:fldCharType="separate"/>
      </w:r>
      <w:r>
        <w:t>3.1董事会层面环境方面的职责设置</w:t>
      </w:r>
      <w:r>
        <w:tab/>
      </w:r>
      <w:r>
        <w:fldChar w:fldCharType="begin"/>
      </w:r>
      <w:r>
        <w:instrText xml:space="preserve"> PAGEREF _Toc30796 \h </w:instrText>
      </w:r>
      <w:r>
        <w:fldChar w:fldCharType="separate"/>
      </w:r>
      <w:r>
        <w:t>9</w:t>
      </w:r>
      <w:r>
        <w:fldChar w:fldCharType="end"/>
      </w:r>
      <w:r>
        <w:fldChar w:fldCharType="end"/>
      </w:r>
    </w:p>
    <w:p>
      <w:pPr>
        <w:pStyle w:val="15"/>
        <w:tabs>
          <w:tab w:val="right" w:leader="dot" w:pos="8845"/>
          <w:tab w:val="clear" w:pos="8296"/>
        </w:tabs>
      </w:pPr>
      <w:r>
        <w:fldChar w:fldCharType="begin"/>
      </w:r>
      <w:r>
        <w:instrText xml:space="preserve"> HYPERLINK \l "_Toc22022" </w:instrText>
      </w:r>
      <w:r>
        <w:fldChar w:fldCharType="separate"/>
      </w:r>
      <w:r>
        <w:t>3.2董事会层面以下环境方面的职责设置</w:t>
      </w:r>
      <w:r>
        <w:tab/>
      </w:r>
      <w:r>
        <w:fldChar w:fldCharType="begin"/>
      </w:r>
      <w:r>
        <w:instrText xml:space="preserve"> PAGEREF _Toc22022 \h </w:instrText>
      </w:r>
      <w:r>
        <w:fldChar w:fldCharType="separate"/>
      </w:r>
      <w:r>
        <w:t>9</w:t>
      </w:r>
      <w:r>
        <w:fldChar w:fldCharType="end"/>
      </w:r>
      <w:r>
        <w:fldChar w:fldCharType="end"/>
      </w:r>
    </w:p>
    <w:p>
      <w:pPr>
        <w:pStyle w:val="15"/>
        <w:tabs>
          <w:tab w:val="right" w:leader="dot" w:pos="8845"/>
          <w:tab w:val="clear" w:pos="8296"/>
        </w:tabs>
      </w:pPr>
      <w:r>
        <w:fldChar w:fldCharType="begin"/>
      </w:r>
      <w:r>
        <w:instrText xml:space="preserve"> HYPERLINK \l "_Toc27429" </w:instrText>
      </w:r>
      <w:r>
        <w:fldChar w:fldCharType="separate"/>
      </w:r>
      <w:r>
        <w:t>3.2.1成立绿色金融事业部</w:t>
      </w:r>
      <w:r>
        <w:tab/>
      </w:r>
      <w:r>
        <w:fldChar w:fldCharType="begin"/>
      </w:r>
      <w:r>
        <w:instrText xml:space="preserve"> PAGEREF _Toc27429 \h </w:instrText>
      </w:r>
      <w:r>
        <w:fldChar w:fldCharType="separate"/>
      </w:r>
      <w:r>
        <w:t>9</w:t>
      </w:r>
      <w:r>
        <w:fldChar w:fldCharType="end"/>
      </w:r>
      <w:r>
        <w:fldChar w:fldCharType="end"/>
      </w:r>
    </w:p>
    <w:p>
      <w:pPr>
        <w:pStyle w:val="15"/>
        <w:tabs>
          <w:tab w:val="right" w:leader="dot" w:pos="8845"/>
          <w:tab w:val="clear" w:pos="8296"/>
        </w:tabs>
      </w:pPr>
      <w:r>
        <w:fldChar w:fldCharType="begin"/>
      </w:r>
      <w:r>
        <w:instrText xml:space="preserve"> HYPERLINK \l "_Toc8018" </w:instrText>
      </w:r>
      <w:r>
        <w:fldChar w:fldCharType="separate"/>
      </w:r>
      <w:r>
        <w:t>3.2.2创建绿色支行</w:t>
      </w:r>
      <w:r>
        <w:tab/>
      </w:r>
      <w:r>
        <w:fldChar w:fldCharType="begin"/>
      </w:r>
      <w:r>
        <w:instrText xml:space="preserve"> PAGEREF _Toc8018 \h </w:instrText>
      </w:r>
      <w:r>
        <w:fldChar w:fldCharType="separate"/>
      </w:r>
      <w:r>
        <w:t>9</w:t>
      </w:r>
      <w:r>
        <w:fldChar w:fldCharType="end"/>
      </w:r>
      <w:r>
        <w:fldChar w:fldCharType="end"/>
      </w:r>
    </w:p>
    <w:p>
      <w:pPr>
        <w:pStyle w:val="13"/>
        <w:tabs>
          <w:tab w:val="right" w:leader="dot" w:pos="8845"/>
          <w:tab w:val="clear" w:pos="8296"/>
        </w:tabs>
      </w:pPr>
      <w:r>
        <w:fldChar w:fldCharType="begin"/>
      </w:r>
      <w:r>
        <w:instrText xml:space="preserve"> HYPERLINK \l "_Toc14321" </w:instrText>
      </w:r>
      <w:r>
        <w:fldChar w:fldCharType="separate"/>
      </w:r>
      <w:r>
        <w:rPr>
          <w:szCs w:val="32"/>
        </w:rPr>
        <w:t>4金融机构环境相关政策制度</w:t>
      </w:r>
      <w:r>
        <w:tab/>
      </w:r>
      <w:r>
        <w:fldChar w:fldCharType="begin"/>
      </w:r>
      <w:r>
        <w:instrText xml:space="preserve"> PAGEREF _Toc14321 \h </w:instrText>
      </w:r>
      <w:r>
        <w:fldChar w:fldCharType="separate"/>
      </w:r>
      <w:r>
        <w:t>10</w:t>
      </w:r>
      <w:r>
        <w:fldChar w:fldCharType="end"/>
      </w:r>
      <w:r>
        <w:fldChar w:fldCharType="end"/>
      </w:r>
    </w:p>
    <w:p>
      <w:pPr>
        <w:pStyle w:val="15"/>
        <w:tabs>
          <w:tab w:val="right" w:leader="dot" w:pos="8845"/>
          <w:tab w:val="clear" w:pos="8296"/>
        </w:tabs>
      </w:pPr>
      <w:r>
        <w:fldChar w:fldCharType="begin"/>
      </w:r>
      <w:r>
        <w:instrText xml:space="preserve"> HYPERLINK \l "_Toc9671" </w:instrText>
      </w:r>
      <w:r>
        <w:fldChar w:fldCharType="separate"/>
      </w:r>
      <w:r>
        <w:t>4.1环境政策可能对金融机构产生的影响</w:t>
      </w:r>
      <w:r>
        <w:tab/>
      </w:r>
      <w:r>
        <w:fldChar w:fldCharType="begin"/>
      </w:r>
      <w:r>
        <w:instrText xml:space="preserve"> PAGEREF _Toc9671 \h </w:instrText>
      </w:r>
      <w:r>
        <w:fldChar w:fldCharType="separate"/>
      </w:r>
      <w:r>
        <w:t>10</w:t>
      </w:r>
      <w:r>
        <w:fldChar w:fldCharType="end"/>
      </w:r>
      <w:r>
        <w:fldChar w:fldCharType="end"/>
      </w:r>
    </w:p>
    <w:p>
      <w:pPr>
        <w:pStyle w:val="15"/>
        <w:tabs>
          <w:tab w:val="right" w:leader="dot" w:pos="8845"/>
          <w:tab w:val="clear" w:pos="8296"/>
        </w:tabs>
      </w:pPr>
      <w:r>
        <w:fldChar w:fldCharType="begin"/>
      </w:r>
      <w:r>
        <w:instrText xml:space="preserve"> HYPERLINK \l "_Toc28801" </w:instrText>
      </w:r>
      <w:r>
        <w:fldChar w:fldCharType="separate"/>
      </w:r>
      <w:r>
        <w:t>4.2本机构与环境相关的现行政策</w:t>
      </w:r>
      <w:r>
        <w:tab/>
      </w:r>
      <w:r>
        <w:fldChar w:fldCharType="begin"/>
      </w:r>
      <w:r>
        <w:instrText xml:space="preserve"> PAGEREF _Toc28801 \h </w:instrText>
      </w:r>
      <w:r>
        <w:fldChar w:fldCharType="separate"/>
      </w:r>
      <w:r>
        <w:t>11</w:t>
      </w:r>
      <w:r>
        <w:fldChar w:fldCharType="end"/>
      </w:r>
      <w:r>
        <w:fldChar w:fldCharType="end"/>
      </w:r>
    </w:p>
    <w:p>
      <w:pPr>
        <w:pStyle w:val="13"/>
        <w:tabs>
          <w:tab w:val="right" w:leader="dot" w:pos="8845"/>
          <w:tab w:val="clear" w:pos="8296"/>
        </w:tabs>
      </w:pPr>
      <w:r>
        <w:fldChar w:fldCharType="begin"/>
      </w:r>
      <w:r>
        <w:instrText xml:space="preserve"> HYPERLINK \l "_Toc3921" </w:instrText>
      </w:r>
      <w:r>
        <w:fldChar w:fldCharType="separate"/>
      </w:r>
      <w:r>
        <w:rPr>
          <w:szCs w:val="32"/>
        </w:rPr>
        <w:t>5金融机构环境风险、机遇的分析与管理</w:t>
      </w:r>
      <w:r>
        <w:tab/>
      </w:r>
      <w:r>
        <w:fldChar w:fldCharType="begin"/>
      </w:r>
      <w:r>
        <w:instrText xml:space="preserve"> PAGEREF _Toc3921 \h </w:instrText>
      </w:r>
      <w:r>
        <w:fldChar w:fldCharType="separate"/>
      </w:r>
      <w:r>
        <w:t>16</w:t>
      </w:r>
      <w:r>
        <w:fldChar w:fldCharType="end"/>
      </w:r>
      <w:r>
        <w:fldChar w:fldCharType="end"/>
      </w:r>
    </w:p>
    <w:p>
      <w:pPr>
        <w:pStyle w:val="15"/>
        <w:tabs>
          <w:tab w:val="right" w:leader="dot" w:pos="8845"/>
          <w:tab w:val="clear" w:pos="8296"/>
        </w:tabs>
      </w:pPr>
      <w:r>
        <w:fldChar w:fldCharType="begin"/>
      </w:r>
      <w:r>
        <w:instrText xml:space="preserve"> HYPERLINK \l "_Toc17111" </w:instrText>
      </w:r>
      <w:r>
        <w:fldChar w:fldCharType="separate"/>
      </w:r>
      <w:r>
        <w:t>5.1金融机构环境风险影响</w:t>
      </w:r>
      <w:r>
        <w:tab/>
      </w:r>
      <w:r>
        <w:fldChar w:fldCharType="begin"/>
      </w:r>
      <w:r>
        <w:instrText xml:space="preserve"> PAGEREF _Toc17111 \h </w:instrText>
      </w:r>
      <w:r>
        <w:fldChar w:fldCharType="separate"/>
      </w:r>
      <w:r>
        <w:t>16</w:t>
      </w:r>
      <w:r>
        <w:fldChar w:fldCharType="end"/>
      </w:r>
      <w:r>
        <w:fldChar w:fldCharType="end"/>
      </w:r>
    </w:p>
    <w:p>
      <w:pPr>
        <w:pStyle w:val="15"/>
        <w:tabs>
          <w:tab w:val="right" w:leader="dot" w:pos="8845"/>
          <w:tab w:val="clear" w:pos="8296"/>
        </w:tabs>
      </w:pPr>
      <w:r>
        <w:fldChar w:fldCharType="begin"/>
      </w:r>
      <w:r>
        <w:instrText xml:space="preserve"> HYPERLINK \l "_Toc4503" </w:instrText>
      </w:r>
      <w:r>
        <w:fldChar w:fldCharType="separate"/>
      </w:r>
      <w:r>
        <w:t>5.2 环境风险管理及流程</w:t>
      </w:r>
      <w:r>
        <w:tab/>
      </w:r>
      <w:r>
        <w:fldChar w:fldCharType="begin"/>
      </w:r>
      <w:r>
        <w:instrText xml:space="preserve"> PAGEREF _Toc4503 \h </w:instrText>
      </w:r>
      <w:r>
        <w:fldChar w:fldCharType="separate"/>
      </w:r>
      <w:r>
        <w:t>17</w:t>
      </w:r>
      <w:r>
        <w:fldChar w:fldCharType="end"/>
      </w:r>
      <w:r>
        <w:fldChar w:fldCharType="end"/>
      </w:r>
    </w:p>
    <w:p>
      <w:pPr>
        <w:pStyle w:val="15"/>
        <w:tabs>
          <w:tab w:val="right" w:leader="dot" w:pos="8845"/>
          <w:tab w:val="clear" w:pos="8296"/>
        </w:tabs>
      </w:pPr>
      <w:r>
        <w:fldChar w:fldCharType="begin"/>
      </w:r>
      <w:r>
        <w:instrText xml:space="preserve"> HYPERLINK \l "_Toc24016" </w:instrText>
      </w:r>
      <w:r>
        <w:fldChar w:fldCharType="separate"/>
      </w:r>
      <w:r>
        <w:t>5.2.1调查准入环节</w:t>
      </w:r>
      <w:r>
        <w:tab/>
      </w:r>
      <w:r>
        <w:fldChar w:fldCharType="begin"/>
      </w:r>
      <w:r>
        <w:instrText xml:space="preserve"> PAGEREF _Toc24016 \h </w:instrText>
      </w:r>
      <w:r>
        <w:fldChar w:fldCharType="separate"/>
      </w:r>
      <w:r>
        <w:t>17</w:t>
      </w:r>
      <w:r>
        <w:fldChar w:fldCharType="end"/>
      </w:r>
      <w:r>
        <w:fldChar w:fldCharType="end"/>
      </w:r>
    </w:p>
    <w:p>
      <w:pPr>
        <w:pStyle w:val="15"/>
        <w:tabs>
          <w:tab w:val="right" w:leader="dot" w:pos="8845"/>
          <w:tab w:val="clear" w:pos="8296"/>
        </w:tabs>
      </w:pPr>
      <w:r>
        <w:fldChar w:fldCharType="begin"/>
      </w:r>
      <w:r>
        <w:instrText xml:space="preserve"> HYPERLINK \l "_Toc12907" </w:instrText>
      </w:r>
      <w:r>
        <w:fldChar w:fldCharType="separate"/>
      </w:r>
      <w:r>
        <w:t>5.2.2审查审批环节</w:t>
      </w:r>
      <w:r>
        <w:tab/>
      </w:r>
      <w:r>
        <w:fldChar w:fldCharType="begin"/>
      </w:r>
      <w:r>
        <w:instrText xml:space="preserve"> PAGEREF _Toc12907 \h </w:instrText>
      </w:r>
      <w:r>
        <w:fldChar w:fldCharType="separate"/>
      </w:r>
      <w:r>
        <w:t>17</w:t>
      </w:r>
      <w:r>
        <w:fldChar w:fldCharType="end"/>
      </w:r>
      <w:r>
        <w:fldChar w:fldCharType="end"/>
      </w:r>
    </w:p>
    <w:p>
      <w:pPr>
        <w:pStyle w:val="15"/>
        <w:tabs>
          <w:tab w:val="right" w:leader="dot" w:pos="8845"/>
          <w:tab w:val="clear" w:pos="8296"/>
        </w:tabs>
      </w:pPr>
      <w:r>
        <w:fldChar w:fldCharType="begin"/>
      </w:r>
      <w:r>
        <w:instrText xml:space="preserve"> HYPERLINK \l "_Toc8378" </w:instrText>
      </w:r>
      <w:r>
        <w:fldChar w:fldCharType="separate"/>
      </w:r>
      <w:r>
        <w:t>5.2.3合同签署环节</w:t>
      </w:r>
      <w:r>
        <w:tab/>
      </w:r>
      <w:r>
        <w:fldChar w:fldCharType="begin"/>
      </w:r>
      <w:r>
        <w:instrText xml:space="preserve"> PAGEREF _Toc8378 \h </w:instrText>
      </w:r>
      <w:r>
        <w:fldChar w:fldCharType="separate"/>
      </w:r>
      <w:r>
        <w:t>18</w:t>
      </w:r>
      <w:r>
        <w:fldChar w:fldCharType="end"/>
      </w:r>
      <w:r>
        <w:fldChar w:fldCharType="end"/>
      </w:r>
    </w:p>
    <w:p>
      <w:pPr>
        <w:pStyle w:val="15"/>
        <w:tabs>
          <w:tab w:val="right" w:leader="dot" w:pos="8845"/>
          <w:tab w:val="clear" w:pos="8296"/>
        </w:tabs>
      </w:pPr>
      <w:r>
        <w:fldChar w:fldCharType="begin"/>
      </w:r>
      <w:r>
        <w:instrText xml:space="preserve"> HYPERLINK \l "_Toc2460" </w:instrText>
      </w:r>
      <w:r>
        <w:fldChar w:fldCharType="separate"/>
      </w:r>
      <w:r>
        <w:t>5.2.4贷后管理环节</w:t>
      </w:r>
      <w:r>
        <w:tab/>
      </w:r>
      <w:r>
        <w:fldChar w:fldCharType="begin"/>
      </w:r>
      <w:r>
        <w:instrText xml:space="preserve"> PAGEREF _Toc2460 \h </w:instrText>
      </w:r>
      <w:r>
        <w:fldChar w:fldCharType="separate"/>
      </w:r>
      <w:r>
        <w:t>18</w:t>
      </w:r>
      <w:r>
        <w:fldChar w:fldCharType="end"/>
      </w:r>
      <w:r>
        <w:fldChar w:fldCharType="end"/>
      </w:r>
    </w:p>
    <w:p>
      <w:pPr>
        <w:pStyle w:val="13"/>
        <w:tabs>
          <w:tab w:val="right" w:leader="dot" w:pos="8845"/>
          <w:tab w:val="clear" w:pos="8296"/>
        </w:tabs>
      </w:pPr>
      <w:r>
        <w:fldChar w:fldCharType="begin"/>
      </w:r>
      <w:r>
        <w:instrText xml:space="preserve"> HYPERLINK \l "_Toc2809" </w:instrText>
      </w:r>
      <w:r>
        <w:fldChar w:fldCharType="separate"/>
      </w:r>
      <w:r>
        <w:rPr>
          <w:szCs w:val="32"/>
        </w:rPr>
        <w:t>6本机构经营活动对环境产生的影响</w:t>
      </w:r>
      <w:r>
        <w:tab/>
      </w:r>
      <w:r>
        <w:fldChar w:fldCharType="begin"/>
      </w:r>
      <w:r>
        <w:instrText xml:space="preserve"> PAGEREF _Toc2809 \h </w:instrText>
      </w:r>
      <w:r>
        <w:fldChar w:fldCharType="separate"/>
      </w:r>
      <w:r>
        <w:t>18</w:t>
      </w:r>
      <w:r>
        <w:fldChar w:fldCharType="end"/>
      </w:r>
      <w:r>
        <w:fldChar w:fldCharType="end"/>
      </w:r>
    </w:p>
    <w:p>
      <w:pPr>
        <w:pStyle w:val="15"/>
        <w:tabs>
          <w:tab w:val="right" w:leader="dot" w:pos="8845"/>
          <w:tab w:val="clear" w:pos="8296"/>
        </w:tabs>
      </w:pPr>
      <w:r>
        <w:fldChar w:fldCharType="begin"/>
      </w:r>
      <w:r>
        <w:instrText xml:space="preserve"> HYPERLINK \l "_Toc3210" </w:instrText>
      </w:r>
      <w:r>
        <w:fldChar w:fldCharType="separate"/>
      </w:r>
      <w:r>
        <w:t>6.1本机构</w:t>
      </w:r>
      <w:r>
        <w:rPr>
          <w:rFonts w:hint="eastAsia"/>
        </w:rPr>
        <w:t>2022</w:t>
      </w:r>
      <w:r>
        <w:t>年经营活动产生的碳排放</w:t>
      </w:r>
      <w:r>
        <w:tab/>
      </w:r>
      <w:r>
        <w:fldChar w:fldCharType="begin"/>
      </w:r>
      <w:r>
        <w:instrText xml:space="preserve"> PAGEREF _Toc3210 \h </w:instrText>
      </w:r>
      <w:r>
        <w:fldChar w:fldCharType="separate"/>
      </w:r>
      <w:r>
        <w:t>18</w:t>
      </w:r>
      <w:r>
        <w:fldChar w:fldCharType="end"/>
      </w:r>
      <w:r>
        <w:fldChar w:fldCharType="end"/>
      </w:r>
    </w:p>
    <w:p>
      <w:pPr>
        <w:pStyle w:val="15"/>
        <w:tabs>
          <w:tab w:val="right" w:leader="dot" w:pos="8845"/>
          <w:tab w:val="clear" w:pos="8296"/>
        </w:tabs>
      </w:pPr>
      <w:r>
        <w:fldChar w:fldCharType="begin"/>
      </w:r>
      <w:r>
        <w:instrText xml:space="preserve"> HYPERLINK \l "_Toc2510" </w:instrText>
      </w:r>
      <w:r>
        <w:fldChar w:fldCharType="separate"/>
      </w:r>
      <w:r>
        <w:t>6.1.1核算边界及排放源识别</w:t>
      </w:r>
      <w:r>
        <w:tab/>
      </w:r>
      <w:r>
        <w:fldChar w:fldCharType="begin"/>
      </w:r>
      <w:r>
        <w:instrText xml:space="preserve"> PAGEREF _Toc2510 \h </w:instrText>
      </w:r>
      <w:r>
        <w:fldChar w:fldCharType="separate"/>
      </w:r>
      <w:r>
        <w:t>19</w:t>
      </w:r>
      <w:r>
        <w:fldChar w:fldCharType="end"/>
      </w:r>
      <w:r>
        <w:fldChar w:fldCharType="end"/>
      </w:r>
    </w:p>
    <w:p>
      <w:pPr>
        <w:pStyle w:val="15"/>
        <w:tabs>
          <w:tab w:val="right" w:leader="dot" w:pos="8845"/>
          <w:tab w:val="clear" w:pos="8296"/>
        </w:tabs>
      </w:pPr>
      <w:r>
        <w:fldChar w:fldCharType="begin"/>
      </w:r>
      <w:r>
        <w:instrText xml:space="preserve"> HYPERLINK \l "_Toc4936" </w:instrText>
      </w:r>
      <w:r>
        <w:fldChar w:fldCharType="separate"/>
      </w:r>
      <w:r>
        <w:t>6.1.2温室气体排放总量及构成</w:t>
      </w:r>
      <w:r>
        <w:tab/>
      </w:r>
      <w:r>
        <w:fldChar w:fldCharType="begin"/>
      </w:r>
      <w:r>
        <w:instrText xml:space="preserve"> PAGEREF _Toc4936 \h </w:instrText>
      </w:r>
      <w:r>
        <w:fldChar w:fldCharType="separate"/>
      </w:r>
      <w:r>
        <w:t>19</w:t>
      </w:r>
      <w:r>
        <w:fldChar w:fldCharType="end"/>
      </w:r>
      <w:r>
        <w:fldChar w:fldCharType="end"/>
      </w:r>
    </w:p>
    <w:p>
      <w:pPr>
        <w:pStyle w:val="15"/>
        <w:tabs>
          <w:tab w:val="right" w:leader="dot" w:pos="8845"/>
          <w:tab w:val="clear" w:pos="8296"/>
        </w:tabs>
      </w:pPr>
      <w:r>
        <w:fldChar w:fldCharType="begin"/>
      </w:r>
      <w:r>
        <w:instrText xml:space="preserve"> HYPERLINK \l "_Toc7539" </w:instrText>
      </w:r>
      <w:r>
        <w:fldChar w:fldCharType="separate"/>
      </w:r>
      <w:r>
        <w:rPr>
          <w:rFonts w:eastAsia="仿宋_GB2312"/>
        </w:rPr>
        <w:t>6.</w:t>
      </w:r>
      <w:r>
        <w:t>2本机构2023年经营活动对环境产生的影响</w:t>
      </w:r>
      <w:r>
        <w:tab/>
      </w:r>
      <w:r>
        <w:fldChar w:fldCharType="begin"/>
      </w:r>
      <w:r>
        <w:instrText xml:space="preserve"> PAGEREF _Toc7539 \h </w:instrText>
      </w:r>
      <w:r>
        <w:fldChar w:fldCharType="separate"/>
      </w:r>
      <w:r>
        <w:t>21</w:t>
      </w:r>
      <w:r>
        <w:fldChar w:fldCharType="end"/>
      </w:r>
      <w:r>
        <w:fldChar w:fldCharType="end"/>
      </w:r>
    </w:p>
    <w:p>
      <w:pPr>
        <w:pStyle w:val="13"/>
        <w:tabs>
          <w:tab w:val="right" w:leader="dot" w:pos="8845"/>
          <w:tab w:val="clear" w:pos="8296"/>
        </w:tabs>
      </w:pPr>
      <w:r>
        <w:fldChar w:fldCharType="begin"/>
      </w:r>
      <w:r>
        <w:instrText xml:space="preserve"> HYPERLINK \l "_Toc19419" </w:instrText>
      </w:r>
      <w:r>
        <w:fldChar w:fldCharType="separate"/>
      </w:r>
      <w:r>
        <w:rPr>
          <w:szCs w:val="32"/>
        </w:rPr>
        <w:t>7本机构投融资对环境产生的影响</w:t>
      </w:r>
      <w:r>
        <w:tab/>
      </w:r>
      <w:r>
        <w:fldChar w:fldCharType="begin"/>
      </w:r>
      <w:r>
        <w:instrText xml:space="preserve"> PAGEREF _Toc19419 \h </w:instrText>
      </w:r>
      <w:r>
        <w:fldChar w:fldCharType="separate"/>
      </w:r>
      <w:r>
        <w:t>22</w:t>
      </w:r>
      <w:r>
        <w:fldChar w:fldCharType="end"/>
      </w:r>
      <w:r>
        <w:fldChar w:fldCharType="end"/>
      </w:r>
    </w:p>
    <w:p>
      <w:pPr>
        <w:pStyle w:val="15"/>
        <w:tabs>
          <w:tab w:val="right" w:leader="dot" w:pos="8845"/>
          <w:tab w:val="clear" w:pos="8296"/>
        </w:tabs>
      </w:pPr>
      <w:r>
        <w:fldChar w:fldCharType="begin"/>
      </w:r>
      <w:r>
        <w:instrText xml:space="preserve"> HYPERLINK \l "_Toc22494" </w:instrText>
      </w:r>
      <w:r>
        <w:fldChar w:fldCharType="separate"/>
      </w:r>
      <w:r>
        <w:t>7.1本机构投融资所产生的环境影响</w:t>
      </w:r>
      <w:r>
        <w:tab/>
      </w:r>
      <w:r>
        <w:fldChar w:fldCharType="begin"/>
      </w:r>
      <w:r>
        <w:instrText xml:space="preserve"> PAGEREF _Toc22494 \h </w:instrText>
      </w:r>
      <w:r>
        <w:fldChar w:fldCharType="separate"/>
      </w:r>
      <w:r>
        <w:t>22</w:t>
      </w:r>
      <w:r>
        <w:fldChar w:fldCharType="end"/>
      </w:r>
      <w:r>
        <w:fldChar w:fldCharType="end"/>
      </w:r>
    </w:p>
    <w:p>
      <w:pPr>
        <w:pStyle w:val="15"/>
        <w:tabs>
          <w:tab w:val="right" w:leader="dot" w:pos="8845"/>
          <w:tab w:val="clear" w:pos="8296"/>
        </w:tabs>
      </w:pPr>
      <w:r>
        <w:fldChar w:fldCharType="begin"/>
      </w:r>
      <w:r>
        <w:instrText xml:space="preserve"> HYPERLINK \l "_Toc13393" </w:instrText>
      </w:r>
      <w:r>
        <w:fldChar w:fldCharType="separate"/>
      </w:r>
      <w:r>
        <w:t>7.2本机构投融资环境影响的测算与表达</w:t>
      </w:r>
      <w:r>
        <w:tab/>
      </w:r>
      <w:r>
        <w:fldChar w:fldCharType="begin"/>
      </w:r>
      <w:r>
        <w:instrText xml:space="preserve"> PAGEREF _Toc13393 \h </w:instrText>
      </w:r>
      <w:r>
        <w:fldChar w:fldCharType="separate"/>
      </w:r>
      <w:r>
        <w:t>22</w:t>
      </w:r>
      <w:r>
        <w:fldChar w:fldCharType="end"/>
      </w:r>
      <w:r>
        <w:fldChar w:fldCharType="end"/>
      </w:r>
    </w:p>
    <w:p>
      <w:pPr>
        <w:pStyle w:val="15"/>
        <w:tabs>
          <w:tab w:val="right" w:leader="dot" w:pos="8845"/>
          <w:tab w:val="clear" w:pos="8296"/>
        </w:tabs>
      </w:pPr>
      <w:r>
        <w:fldChar w:fldCharType="begin"/>
      </w:r>
      <w:r>
        <w:instrText xml:space="preserve"> HYPERLINK \l "_Toc2803" </w:instrText>
      </w:r>
      <w:r>
        <w:fldChar w:fldCharType="separate"/>
      </w:r>
      <w:r>
        <w:t>7.3数据梳理、校验及保护</w:t>
      </w:r>
      <w:r>
        <w:tab/>
      </w:r>
      <w:r>
        <w:fldChar w:fldCharType="begin"/>
      </w:r>
      <w:r>
        <w:instrText xml:space="preserve"> PAGEREF _Toc2803 \h </w:instrText>
      </w:r>
      <w:r>
        <w:fldChar w:fldCharType="separate"/>
      </w:r>
      <w:r>
        <w:t>23</w:t>
      </w:r>
      <w:r>
        <w:fldChar w:fldCharType="end"/>
      </w:r>
      <w:r>
        <w:fldChar w:fldCharType="end"/>
      </w:r>
    </w:p>
    <w:p>
      <w:pPr>
        <w:pStyle w:val="15"/>
        <w:tabs>
          <w:tab w:val="right" w:leader="dot" w:pos="8845"/>
          <w:tab w:val="clear" w:pos="8296"/>
        </w:tabs>
      </w:pPr>
      <w:r>
        <w:fldChar w:fldCharType="begin"/>
      </w:r>
      <w:r>
        <w:instrText xml:space="preserve"> HYPERLINK \l "_Toc15053" </w:instrText>
      </w:r>
      <w:r>
        <w:fldChar w:fldCharType="separate"/>
      </w:r>
      <w:r>
        <w:t>7.3.1本机构绿色信贷统计数据质量开展情况</w:t>
      </w:r>
      <w:r>
        <w:tab/>
      </w:r>
      <w:r>
        <w:fldChar w:fldCharType="begin"/>
      </w:r>
      <w:r>
        <w:instrText xml:space="preserve"> PAGEREF _Toc15053 \h </w:instrText>
      </w:r>
      <w:r>
        <w:fldChar w:fldCharType="separate"/>
      </w:r>
      <w:r>
        <w:t>23</w:t>
      </w:r>
      <w:r>
        <w:fldChar w:fldCharType="end"/>
      </w:r>
      <w:r>
        <w:fldChar w:fldCharType="end"/>
      </w:r>
    </w:p>
    <w:p>
      <w:pPr>
        <w:pStyle w:val="15"/>
        <w:tabs>
          <w:tab w:val="right" w:leader="dot" w:pos="8845"/>
          <w:tab w:val="clear" w:pos="8296"/>
        </w:tabs>
      </w:pPr>
      <w:r>
        <w:fldChar w:fldCharType="begin"/>
      </w:r>
      <w:r>
        <w:instrText xml:space="preserve"> HYPERLINK \l "_Toc26860" </w:instrText>
      </w:r>
      <w:r>
        <w:fldChar w:fldCharType="separate"/>
      </w:r>
      <w:r>
        <w:t>7.3.2本机构保证数据安全工作开展情况</w:t>
      </w:r>
      <w:r>
        <w:tab/>
      </w:r>
      <w:r>
        <w:fldChar w:fldCharType="begin"/>
      </w:r>
      <w:r>
        <w:instrText xml:space="preserve"> PAGEREF _Toc26860 \h </w:instrText>
      </w:r>
      <w:r>
        <w:fldChar w:fldCharType="separate"/>
      </w:r>
      <w:r>
        <w:t>23</w:t>
      </w:r>
      <w:r>
        <w:fldChar w:fldCharType="end"/>
      </w:r>
      <w:r>
        <w:fldChar w:fldCharType="end"/>
      </w:r>
    </w:p>
    <w:p>
      <w:pPr>
        <w:pStyle w:val="15"/>
        <w:tabs>
          <w:tab w:val="right" w:leader="dot" w:pos="8845"/>
          <w:tab w:val="clear" w:pos="8296"/>
        </w:tabs>
      </w:pPr>
      <w:r>
        <w:fldChar w:fldCharType="begin"/>
      </w:r>
      <w:r>
        <w:instrText xml:space="preserve"> HYPERLINK \l "_Toc23228" </w:instrText>
      </w:r>
      <w:r>
        <w:fldChar w:fldCharType="separate"/>
      </w:r>
      <w:r>
        <w:t>7.3.3本机构数据安全方面的应急预案</w:t>
      </w:r>
      <w:r>
        <w:tab/>
      </w:r>
      <w:r>
        <w:fldChar w:fldCharType="begin"/>
      </w:r>
      <w:r>
        <w:instrText xml:space="preserve"> PAGEREF _Toc23228 \h </w:instrText>
      </w:r>
      <w:r>
        <w:fldChar w:fldCharType="separate"/>
      </w:r>
      <w:r>
        <w:t>25</w:t>
      </w:r>
      <w:r>
        <w:fldChar w:fldCharType="end"/>
      </w:r>
      <w:r>
        <w:fldChar w:fldCharType="end"/>
      </w:r>
    </w:p>
    <w:p>
      <w:pPr>
        <w:pStyle w:val="13"/>
        <w:tabs>
          <w:tab w:val="right" w:leader="dot" w:pos="8845"/>
          <w:tab w:val="clear" w:pos="8296"/>
        </w:tabs>
      </w:pPr>
      <w:r>
        <w:fldChar w:fldCharType="begin"/>
      </w:r>
      <w:r>
        <w:instrText xml:space="preserve"> HYPERLINK \l "_Toc12596" </w:instrText>
      </w:r>
      <w:r>
        <w:fldChar w:fldCharType="separate"/>
      </w:r>
      <w:r>
        <w:rPr>
          <w:szCs w:val="32"/>
        </w:rPr>
        <w:t>8绿色金融创新及研究成果</w:t>
      </w:r>
      <w:r>
        <w:tab/>
      </w:r>
      <w:r>
        <w:fldChar w:fldCharType="begin"/>
      </w:r>
      <w:r>
        <w:instrText xml:space="preserve"> PAGEREF _Toc12596 \h </w:instrText>
      </w:r>
      <w:r>
        <w:fldChar w:fldCharType="separate"/>
      </w:r>
      <w:r>
        <w:t>25</w:t>
      </w:r>
      <w:r>
        <w:fldChar w:fldCharType="end"/>
      </w:r>
      <w:r>
        <w:fldChar w:fldCharType="end"/>
      </w:r>
    </w:p>
    <w:p>
      <w:pPr>
        <w:pStyle w:val="15"/>
        <w:tabs>
          <w:tab w:val="right" w:leader="dot" w:pos="8845"/>
          <w:tab w:val="clear" w:pos="8296"/>
        </w:tabs>
        <w:rPr>
          <w:lang w:val="zh-CN"/>
        </w:rPr>
      </w:pPr>
      <w:r>
        <w:fldChar w:fldCharType="begin"/>
      </w:r>
      <w:r>
        <w:instrText xml:space="preserve"> HYPERLINK \l "_Toc2245" </w:instrText>
      </w:r>
      <w:r>
        <w:fldChar w:fldCharType="separate"/>
      </w:r>
      <w:r>
        <w:rPr>
          <w:lang w:val="zh-CN"/>
        </w:rPr>
        <w:t>案例1：“生态修复贷”—化生态“疤痕”为绿色“聚宝盆”</w:t>
      </w:r>
      <w:r>
        <w:rPr>
          <w:lang w:val="zh-CN"/>
        </w:rPr>
        <w:tab/>
      </w:r>
      <w:r>
        <w:rPr>
          <w:lang w:val="zh-CN"/>
        </w:rPr>
        <w:fldChar w:fldCharType="begin"/>
      </w:r>
      <w:r>
        <w:rPr>
          <w:lang w:val="zh-CN"/>
        </w:rPr>
        <w:instrText xml:space="preserve"> PAGEREF _Toc2245 \h </w:instrText>
      </w:r>
      <w:r>
        <w:rPr>
          <w:lang w:val="zh-CN"/>
        </w:rPr>
        <w:fldChar w:fldCharType="separate"/>
      </w:r>
      <w:r>
        <w:rPr>
          <w:lang w:val="zh-CN"/>
        </w:rPr>
        <w:t>26</w:t>
      </w:r>
      <w:r>
        <w:rPr>
          <w:lang w:val="zh-CN"/>
        </w:rPr>
        <w:fldChar w:fldCharType="end"/>
      </w:r>
      <w:r>
        <w:rPr>
          <w:lang w:val="zh-CN"/>
        </w:rPr>
        <w:fldChar w:fldCharType="end"/>
      </w:r>
    </w:p>
    <w:p>
      <w:pPr>
        <w:pStyle w:val="15"/>
        <w:tabs>
          <w:tab w:val="right" w:leader="dot" w:pos="8845"/>
          <w:tab w:val="clear" w:pos="8296"/>
        </w:tabs>
      </w:pPr>
      <w:r>
        <w:fldChar w:fldCharType="begin"/>
      </w:r>
      <w:r>
        <w:instrText xml:space="preserve"> HYPERLINK \l "_Toc5400" </w:instrText>
      </w:r>
      <w:r>
        <w:fldChar w:fldCharType="separate"/>
      </w:r>
      <w:r>
        <w:rPr>
          <w:lang w:val="zh-CN"/>
        </w:rPr>
        <w:t>案例2：</w:t>
      </w:r>
      <w:r>
        <w:rPr>
          <w:lang w:val="zh-CN" w:eastAsia="zh-Hans"/>
        </w:rPr>
        <w:t>绿色普惠金融支持“以竹代塑”引领绿色生活新风尚</w:t>
      </w:r>
      <w:r>
        <w:rPr>
          <w:lang w:val="zh-CN"/>
        </w:rPr>
        <w:tab/>
      </w:r>
      <w:r>
        <w:rPr>
          <w:lang w:val="zh-CN"/>
        </w:rPr>
        <w:fldChar w:fldCharType="begin"/>
      </w:r>
      <w:r>
        <w:rPr>
          <w:lang w:val="zh-CN"/>
        </w:rPr>
        <w:instrText xml:space="preserve"> PAGEREF _Toc5400 \h </w:instrText>
      </w:r>
      <w:r>
        <w:rPr>
          <w:lang w:val="zh-CN"/>
        </w:rPr>
        <w:fldChar w:fldCharType="separate"/>
      </w:r>
      <w:r>
        <w:rPr>
          <w:lang w:val="zh-CN"/>
        </w:rPr>
        <w:t>28</w:t>
      </w:r>
      <w:r>
        <w:rPr>
          <w:lang w:val="zh-CN"/>
        </w:rPr>
        <w:fldChar w:fldCharType="end"/>
      </w:r>
      <w:r>
        <w:rPr>
          <w:lang w:val="zh-CN"/>
        </w:rPr>
        <w:fldChar w:fldCharType="end"/>
      </w:r>
    </w:p>
    <w:p>
      <w:pPr>
        <w:pStyle w:val="13"/>
        <w:tabs>
          <w:tab w:val="right" w:leader="dot" w:pos="8845"/>
          <w:tab w:val="clear" w:pos="8296"/>
        </w:tabs>
      </w:pPr>
      <w:r>
        <w:fldChar w:fldCharType="begin"/>
      </w:r>
      <w:r>
        <w:instrText xml:space="preserve"> HYPERLINK \l "_Toc2875" </w:instrText>
      </w:r>
      <w:r>
        <w:fldChar w:fldCharType="separate"/>
      </w:r>
      <w:r>
        <w:rPr>
          <w:szCs w:val="32"/>
        </w:rPr>
        <w:t>9绿色项目</w:t>
      </w:r>
      <w:r>
        <w:tab/>
      </w:r>
      <w:r>
        <w:fldChar w:fldCharType="begin"/>
      </w:r>
      <w:r>
        <w:instrText xml:space="preserve"> PAGEREF _Toc2875 \h </w:instrText>
      </w:r>
      <w:r>
        <w:fldChar w:fldCharType="separate"/>
      </w:r>
      <w:r>
        <w:t>30</w:t>
      </w:r>
      <w:r>
        <w:fldChar w:fldCharType="end"/>
      </w:r>
      <w:r>
        <w:fldChar w:fldCharType="end"/>
      </w:r>
    </w:p>
    <w:p>
      <w:pPr>
        <w:spacing w:line="280" w:lineRule="exact"/>
        <w:rPr>
          <w:b/>
          <w:bCs/>
          <w:sz w:val="44"/>
          <w:szCs w:val="44"/>
          <w:lang w:val="zh-CN"/>
        </w:rPr>
      </w:pPr>
      <w:r>
        <w:rPr>
          <w:bCs/>
          <w:lang w:val="zh-CN"/>
        </w:rPr>
        <w:fldChar w:fldCharType="end"/>
      </w:r>
      <w:bookmarkStart w:id="0" w:name="_Toc70665242"/>
      <w:bookmarkStart w:id="1" w:name="_Toc42012315"/>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pStyle w:val="4"/>
        <w:ind w:firstLine="640"/>
        <w:rPr>
          <w:rFonts w:ascii="Times New Roman" w:hAnsi="Times New Roman"/>
          <w:color w:val="000000"/>
          <w:u w:color="000000"/>
          <w:lang w:val="en-US"/>
        </w:rPr>
      </w:pPr>
    </w:p>
    <w:p>
      <w:pPr>
        <w:rPr>
          <w:color w:val="000000"/>
          <w:sz w:val="32"/>
          <w:szCs w:val="32"/>
          <w:u w:color="000000"/>
        </w:rPr>
      </w:pPr>
    </w:p>
    <w:p>
      <w:pPr>
        <w:pStyle w:val="4"/>
        <w:ind w:firstLine="0" w:firstLineChars="0"/>
        <w:rPr>
          <w:rFonts w:ascii="Times New Roman" w:hAnsi="Times New Roman"/>
          <w:color w:val="000000"/>
          <w:u w:color="000000"/>
          <w:lang w:val="en-US"/>
        </w:rPr>
      </w:pPr>
    </w:p>
    <w:p>
      <w:pPr>
        <w:pStyle w:val="4"/>
        <w:ind w:firstLine="640"/>
        <w:rPr>
          <w:rFonts w:cs="黑体"/>
          <w:color w:val="000000"/>
          <w:u w:color="000000"/>
          <w:lang w:val="en-US"/>
        </w:rPr>
      </w:pPr>
      <w:bookmarkStart w:id="2" w:name="_Toc15292"/>
      <w:r>
        <w:rPr>
          <w:rFonts w:hint="eastAsia" w:cs="黑体"/>
          <w:color w:val="000000"/>
          <w:u w:color="000000"/>
          <w:lang w:val="en-US"/>
        </w:rPr>
        <w:t>1关于本报告</w:t>
      </w:r>
      <w:bookmarkEnd w:id="0"/>
      <w:bookmarkEnd w:id="1"/>
      <w:bookmarkEnd w:id="2"/>
    </w:p>
    <w:p>
      <w:pPr>
        <w:spacing w:before="156" w:beforeLines="50" w:after="156" w:afterLines="50" w:line="560" w:lineRule="exact"/>
        <w:ind w:firstLine="643" w:firstLineChars="200"/>
        <w:rPr>
          <w:rFonts w:ascii="楷体_GB2312" w:hAnsi="楷体_GB2312" w:eastAsia="楷体_GB2312" w:cs="楷体_GB2312"/>
          <w:b/>
          <w:bCs/>
          <w:sz w:val="32"/>
          <w:szCs w:val="32"/>
          <w:u w:color="000000"/>
          <w:lang w:val="zh-TW"/>
        </w:rPr>
      </w:pPr>
      <w:bookmarkStart w:id="3" w:name="_Toc38615348"/>
      <w:bookmarkStart w:id="4" w:name="_Toc38615311"/>
      <w:bookmarkStart w:id="5" w:name="_Toc38615456"/>
      <w:r>
        <w:rPr>
          <w:rFonts w:hint="eastAsia" w:ascii="楷体_GB2312" w:hAnsi="楷体_GB2312" w:eastAsia="楷体_GB2312" w:cs="楷体_GB2312"/>
          <w:b/>
          <w:bCs/>
          <w:sz w:val="32"/>
          <w:szCs w:val="32"/>
          <w:u w:color="000000"/>
          <w:lang w:val="zh-TW"/>
        </w:rPr>
        <w:t>报告简介</w:t>
      </w:r>
      <w:bookmarkEnd w:id="3"/>
      <w:bookmarkEnd w:id="4"/>
      <w:bookmarkEnd w:id="5"/>
      <w:bookmarkStart w:id="6" w:name="_Toc38615457"/>
      <w:bookmarkStart w:id="7" w:name="_Toc38615349"/>
      <w:bookmarkStart w:id="8" w:name="_Toc38615169"/>
      <w:bookmarkStart w:id="9" w:name="_Toc38615312"/>
      <w:bookmarkStart w:id="10" w:name="_Toc38615488"/>
    </w:p>
    <w:p>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浙江安吉</w:t>
      </w:r>
      <w:r>
        <w:rPr>
          <w:rFonts w:eastAsia="仿宋_GB2312"/>
          <w:color w:val="000000"/>
          <w:sz w:val="32"/>
          <w:szCs w:val="32"/>
          <w:u w:color="000000"/>
          <w:lang w:val="zh-TW"/>
        </w:rPr>
        <w:t>农村商业银行股份有限公司</w:t>
      </w:r>
      <w:r>
        <w:rPr>
          <w:rFonts w:hint="eastAsia" w:eastAsia="仿宋_GB2312"/>
          <w:color w:val="000000"/>
          <w:sz w:val="32"/>
          <w:szCs w:val="32"/>
          <w:u w:color="000000"/>
          <w:lang w:val="zh-TW"/>
        </w:rPr>
        <w:t>（以下简称“本行”）于2008年7月统一一级法人，2013年12月改制成农商银行。目前，全行下辖</w:t>
      </w:r>
      <w:r>
        <w:rPr>
          <w:rFonts w:hint="eastAsia" w:eastAsia="仿宋_GB2312"/>
          <w:color w:val="000000"/>
          <w:sz w:val="32"/>
          <w:szCs w:val="32"/>
          <w:u w:color="000000"/>
        </w:rPr>
        <w:t>42</w:t>
      </w:r>
      <w:r>
        <w:rPr>
          <w:rFonts w:hint="eastAsia" w:eastAsia="仿宋_GB2312"/>
          <w:color w:val="000000"/>
          <w:sz w:val="32"/>
          <w:szCs w:val="32"/>
          <w:u w:color="000000"/>
          <w:lang w:val="zh-TW"/>
        </w:rPr>
        <w:t>家营业机构网点，从业人员</w:t>
      </w:r>
      <w:r>
        <w:rPr>
          <w:rFonts w:eastAsia="仿宋_GB2312"/>
          <w:color w:val="000000"/>
          <w:sz w:val="32"/>
          <w:szCs w:val="32"/>
          <w:u w:color="000000"/>
        </w:rPr>
        <w:t>7</w:t>
      </w:r>
      <w:r>
        <w:rPr>
          <w:rFonts w:hint="eastAsia" w:eastAsia="仿宋_GB2312"/>
          <w:color w:val="000000"/>
          <w:sz w:val="32"/>
          <w:szCs w:val="32"/>
          <w:u w:color="000000"/>
        </w:rPr>
        <w:t>11</w:t>
      </w:r>
      <w:r>
        <w:rPr>
          <w:rFonts w:hint="eastAsia" w:eastAsia="仿宋_GB2312"/>
          <w:color w:val="000000"/>
          <w:sz w:val="32"/>
          <w:szCs w:val="32"/>
          <w:u w:color="000000"/>
          <w:lang w:val="zh-TW"/>
        </w:rPr>
        <w:t>人，是安吉县内存贷规模最大、网点数量最多、服务惠及面最广的银行业金融机构，被安吉县政府授予“乡村振兴主办银行”。</w:t>
      </w:r>
      <w:r>
        <w:rPr>
          <w:rFonts w:eastAsia="仿宋_GB2312"/>
          <w:color w:val="000000"/>
          <w:sz w:val="32"/>
          <w:szCs w:val="32"/>
          <w:u w:color="000000"/>
        </w:rPr>
        <w:t>202</w:t>
      </w:r>
      <w:r>
        <w:rPr>
          <w:rFonts w:hint="eastAsia" w:eastAsia="仿宋_GB2312"/>
          <w:color w:val="000000"/>
          <w:sz w:val="32"/>
          <w:szCs w:val="32"/>
          <w:u w:color="000000"/>
        </w:rPr>
        <w:t>3</w:t>
      </w:r>
      <w:r>
        <w:rPr>
          <w:rFonts w:hint="eastAsia" w:eastAsia="仿宋_GB2312"/>
          <w:color w:val="000000"/>
          <w:sz w:val="32"/>
          <w:szCs w:val="32"/>
          <w:u w:color="000000"/>
          <w:lang w:eastAsia="zh-Hans"/>
        </w:rPr>
        <w:t>年</w:t>
      </w:r>
      <w:r>
        <w:rPr>
          <w:rFonts w:hint="eastAsia" w:eastAsia="仿宋_GB2312"/>
          <w:color w:val="000000"/>
          <w:sz w:val="32"/>
          <w:szCs w:val="32"/>
          <w:u w:color="000000"/>
        </w:rPr>
        <w:t>，</w:t>
      </w:r>
      <w:r>
        <w:rPr>
          <w:rFonts w:hint="eastAsia" w:eastAsia="仿宋_GB2312"/>
          <w:color w:val="000000"/>
          <w:sz w:val="32"/>
          <w:szCs w:val="32"/>
          <w:u w:color="000000"/>
          <w:lang w:val="en-US" w:eastAsia="zh-CN"/>
        </w:rPr>
        <w:t>本行</w:t>
      </w:r>
      <w:r>
        <w:rPr>
          <w:rFonts w:hint="eastAsia" w:eastAsia="仿宋_GB2312"/>
          <w:color w:val="000000"/>
          <w:sz w:val="32"/>
          <w:szCs w:val="32"/>
          <w:u w:color="000000"/>
          <w:lang w:val="zh-TW"/>
        </w:rPr>
        <w:t>以习近平新时代中国特色社会主义思想为指导，完整、准确、全面贯彻高质量推进绿色低碳</w:t>
      </w:r>
      <w:r>
        <w:rPr>
          <w:rFonts w:hint="eastAsia" w:eastAsia="仿宋_GB2312"/>
          <w:color w:val="000000"/>
          <w:sz w:val="32"/>
          <w:szCs w:val="32"/>
          <w:u w:color="000000"/>
        </w:rPr>
        <w:t>新</w:t>
      </w:r>
      <w:r>
        <w:rPr>
          <w:rFonts w:hint="eastAsia" w:eastAsia="仿宋_GB2312"/>
          <w:color w:val="000000"/>
          <w:sz w:val="32"/>
          <w:szCs w:val="32"/>
          <w:u w:color="000000"/>
          <w:lang w:val="zh-TW"/>
        </w:rPr>
        <w:t>发展</w:t>
      </w:r>
      <w:r>
        <w:rPr>
          <w:rFonts w:hint="eastAsia" w:eastAsia="仿宋_GB2312"/>
          <w:color w:val="000000"/>
          <w:sz w:val="32"/>
          <w:szCs w:val="32"/>
          <w:u w:color="000000"/>
        </w:rPr>
        <w:t>理念，</w:t>
      </w:r>
      <w:r>
        <w:rPr>
          <w:rFonts w:hint="eastAsia" w:eastAsia="仿宋_GB2312"/>
          <w:color w:val="000000"/>
          <w:sz w:val="32"/>
          <w:szCs w:val="32"/>
          <w:u w:color="000000"/>
          <w:lang w:eastAsia="zh-Hans"/>
        </w:rPr>
        <w:t>以湖州市争创国家绿色金融改革创新示范区为契机</w:t>
      </w:r>
      <w:r>
        <w:rPr>
          <w:rFonts w:eastAsia="仿宋_GB2312"/>
          <w:color w:val="000000"/>
          <w:sz w:val="32"/>
          <w:szCs w:val="32"/>
          <w:u w:color="000000"/>
          <w:lang w:eastAsia="zh-Hans"/>
        </w:rPr>
        <w:t>，</w:t>
      </w:r>
      <w:r>
        <w:rPr>
          <w:rFonts w:hint="eastAsia" w:eastAsia="仿宋_GB2312"/>
          <w:color w:val="000000"/>
          <w:sz w:val="32"/>
          <w:szCs w:val="32"/>
          <w:u w:color="000000"/>
          <w:lang w:val="zh-TW"/>
        </w:rPr>
        <w:t>立足普惠金融服务对象</w:t>
      </w:r>
      <w:r>
        <w:rPr>
          <w:rFonts w:eastAsia="仿宋_GB2312"/>
          <w:color w:val="000000"/>
          <w:sz w:val="32"/>
          <w:szCs w:val="32"/>
          <w:u w:color="000000"/>
          <w:lang w:eastAsia="zh-Hans"/>
        </w:rPr>
        <w:t>，</w:t>
      </w:r>
      <w:r>
        <w:rPr>
          <w:rFonts w:hint="eastAsia" w:eastAsia="仿宋_GB2312"/>
          <w:color w:val="000000"/>
          <w:sz w:val="32"/>
          <w:szCs w:val="32"/>
          <w:u w:color="000000"/>
          <w:lang w:eastAsia="zh-Hans"/>
        </w:rPr>
        <w:t>围绕打造“绿色普惠标杆银行”目标愿景</w:t>
      </w:r>
      <w:r>
        <w:rPr>
          <w:rFonts w:eastAsia="仿宋_GB2312"/>
          <w:color w:val="000000"/>
          <w:sz w:val="32"/>
          <w:szCs w:val="32"/>
          <w:u w:color="000000"/>
          <w:lang w:eastAsia="zh-Hans"/>
        </w:rPr>
        <w:t>，</w:t>
      </w:r>
      <w:r>
        <w:rPr>
          <w:rFonts w:hint="eastAsia" w:eastAsia="仿宋_GB2312"/>
          <w:color w:val="000000"/>
          <w:sz w:val="32"/>
          <w:szCs w:val="32"/>
          <w:u w:color="000000"/>
          <w:lang w:eastAsia="zh-Hans"/>
        </w:rPr>
        <w:t>按照“碳中和”银行建设规划路线图</w:t>
      </w:r>
      <w:r>
        <w:rPr>
          <w:rFonts w:eastAsia="仿宋_GB2312"/>
          <w:color w:val="000000"/>
          <w:sz w:val="32"/>
          <w:szCs w:val="32"/>
          <w:u w:color="000000"/>
          <w:lang w:eastAsia="zh-Hans"/>
        </w:rPr>
        <w:t>，</w:t>
      </w:r>
      <w:r>
        <w:rPr>
          <w:rFonts w:hint="eastAsia" w:eastAsia="仿宋_GB2312"/>
          <w:color w:val="000000"/>
          <w:sz w:val="32"/>
          <w:szCs w:val="32"/>
          <w:u w:color="000000"/>
          <w:lang w:eastAsia="zh-Hans"/>
        </w:rPr>
        <w:t>以自身运营和金融资产碳核算为突破</w:t>
      </w:r>
      <w:r>
        <w:rPr>
          <w:rFonts w:eastAsia="仿宋_GB2312"/>
          <w:color w:val="000000"/>
          <w:sz w:val="32"/>
          <w:szCs w:val="32"/>
          <w:u w:color="000000"/>
          <w:lang w:eastAsia="zh-Hans"/>
        </w:rPr>
        <w:t>，</w:t>
      </w:r>
      <w:r>
        <w:rPr>
          <w:rFonts w:hint="eastAsia" w:eastAsia="仿宋_GB2312"/>
          <w:color w:val="000000"/>
          <w:sz w:val="32"/>
          <w:szCs w:val="32"/>
          <w:u w:color="000000"/>
          <w:lang w:eastAsia="zh-Hans"/>
        </w:rPr>
        <w:t>构建以碳减排为导向的绿色金融服务体系</w:t>
      </w:r>
      <w:r>
        <w:rPr>
          <w:rFonts w:eastAsia="仿宋_GB2312"/>
          <w:color w:val="000000"/>
          <w:sz w:val="32"/>
          <w:szCs w:val="32"/>
          <w:u w:color="000000"/>
          <w:lang w:eastAsia="zh-Hans"/>
        </w:rPr>
        <w:t>，</w:t>
      </w:r>
      <w:r>
        <w:rPr>
          <w:rFonts w:hint="eastAsia" w:eastAsia="仿宋_GB2312"/>
          <w:color w:val="000000"/>
          <w:sz w:val="32"/>
          <w:szCs w:val="32"/>
          <w:u w:color="000000"/>
          <w:lang w:eastAsia="zh-Hans"/>
        </w:rPr>
        <w:t>同时聚焦减污降碳</w:t>
      </w:r>
      <w:r>
        <w:rPr>
          <w:rFonts w:eastAsia="仿宋_GB2312"/>
          <w:color w:val="000000"/>
          <w:sz w:val="32"/>
          <w:szCs w:val="32"/>
          <w:u w:color="000000"/>
          <w:lang w:eastAsia="zh-Hans"/>
        </w:rPr>
        <w:t>，</w:t>
      </w:r>
      <w:r>
        <w:rPr>
          <w:rFonts w:hint="eastAsia" w:eastAsia="仿宋_GB2312"/>
          <w:color w:val="000000"/>
          <w:sz w:val="32"/>
          <w:szCs w:val="32"/>
          <w:u w:color="000000"/>
          <w:lang w:eastAsia="zh-Hans"/>
        </w:rPr>
        <w:t>积极探索产品与服</w:t>
      </w:r>
      <w:r>
        <w:rPr>
          <w:rFonts w:hint="eastAsia" w:eastAsia="仿宋_GB2312"/>
          <w:color w:val="000000"/>
          <w:sz w:val="32"/>
          <w:szCs w:val="32"/>
          <w:u w:color="000000"/>
          <w:lang w:val="zh-TW" w:eastAsia="zh-Hans"/>
        </w:rPr>
        <w:t>务创新</w:t>
      </w:r>
      <w:r>
        <w:rPr>
          <w:rFonts w:eastAsia="仿宋_GB2312"/>
          <w:color w:val="000000"/>
          <w:sz w:val="32"/>
          <w:szCs w:val="32"/>
          <w:u w:color="000000"/>
          <w:lang w:val="zh-TW" w:eastAsia="zh-Hans"/>
        </w:rPr>
        <w:t>，</w:t>
      </w:r>
      <w:r>
        <w:rPr>
          <w:rFonts w:hint="eastAsia" w:eastAsia="仿宋_GB2312"/>
          <w:color w:val="000000"/>
          <w:sz w:val="32"/>
          <w:szCs w:val="32"/>
          <w:u w:color="000000"/>
          <w:lang w:val="zh-TW" w:eastAsia="zh-Hans"/>
        </w:rPr>
        <w:t>加大普惠群体的支持力度</w:t>
      </w:r>
      <w:r>
        <w:rPr>
          <w:rFonts w:eastAsia="仿宋_GB2312"/>
          <w:color w:val="000000"/>
          <w:sz w:val="32"/>
          <w:szCs w:val="32"/>
          <w:u w:color="000000"/>
          <w:lang w:val="zh-TW" w:eastAsia="zh-Hans"/>
        </w:rPr>
        <w:t>，</w:t>
      </w:r>
      <w:r>
        <w:rPr>
          <w:rFonts w:hint="eastAsia" w:eastAsia="仿宋_GB2312"/>
          <w:color w:val="000000"/>
          <w:sz w:val="32"/>
          <w:szCs w:val="32"/>
          <w:u w:color="000000"/>
          <w:lang w:val="zh-TW" w:eastAsia="zh-Hans"/>
        </w:rPr>
        <w:t>助推地方经济社会绿色低碳高质量发展</w:t>
      </w:r>
      <w:r>
        <w:rPr>
          <w:rFonts w:eastAsia="仿宋_GB2312"/>
          <w:color w:val="000000"/>
          <w:sz w:val="32"/>
          <w:szCs w:val="32"/>
          <w:u w:color="000000"/>
          <w:lang w:val="zh-TW" w:eastAsia="zh-Hans"/>
        </w:rPr>
        <w:t>。</w:t>
      </w:r>
      <w:r>
        <w:rPr>
          <w:rFonts w:hint="eastAsia" w:eastAsia="仿宋_GB2312"/>
          <w:color w:val="000000"/>
          <w:sz w:val="32"/>
          <w:szCs w:val="32"/>
          <w:u w:color="000000"/>
          <w:lang w:val="zh-TW"/>
        </w:rPr>
        <w:t>本报告</w:t>
      </w:r>
      <w:r>
        <w:rPr>
          <w:rFonts w:eastAsia="仿宋_GB2312"/>
          <w:color w:val="000000"/>
          <w:sz w:val="32"/>
          <w:szCs w:val="32"/>
          <w:u w:color="000000"/>
          <w:lang w:val="zh-TW"/>
        </w:rPr>
        <w:t>旨在披露</w:t>
      </w:r>
      <w:r>
        <w:rPr>
          <w:rFonts w:hint="eastAsia" w:eastAsia="仿宋_GB2312"/>
          <w:color w:val="000000"/>
          <w:sz w:val="32"/>
          <w:szCs w:val="32"/>
          <w:u w:color="000000"/>
          <w:lang w:val="zh-TW"/>
        </w:rPr>
        <w:t>浙江安吉</w:t>
      </w:r>
      <w:r>
        <w:rPr>
          <w:rFonts w:eastAsia="仿宋_GB2312"/>
          <w:color w:val="000000"/>
          <w:sz w:val="32"/>
          <w:szCs w:val="32"/>
          <w:u w:color="000000"/>
          <w:lang w:val="zh-TW"/>
        </w:rPr>
        <w:t>农村商业银行股份有限公司</w:t>
      </w:r>
      <w:r>
        <w:rPr>
          <w:rFonts w:hint="eastAsia" w:eastAsia="仿宋_GB2312"/>
          <w:color w:val="000000"/>
          <w:sz w:val="32"/>
          <w:szCs w:val="32"/>
          <w:u w:color="000000"/>
          <w:lang w:val="zh-TW"/>
        </w:rPr>
        <w:t>2023年度绿色金融以及社会与环境风险方面的概况</w:t>
      </w:r>
      <w:r>
        <w:rPr>
          <w:rFonts w:eastAsia="仿宋_GB2312"/>
          <w:color w:val="000000"/>
          <w:sz w:val="32"/>
          <w:szCs w:val="32"/>
          <w:u w:color="000000"/>
          <w:lang w:val="zh-TW"/>
        </w:rPr>
        <w:t>、</w:t>
      </w:r>
      <w:r>
        <w:rPr>
          <w:rFonts w:hint="eastAsia" w:eastAsia="仿宋_GB2312"/>
          <w:color w:val="000000"/>
          <w:sz w:val="32"/>
          <w:szCs w:val="32"/>
          <w:u w:color="000000"/>
          <w:lang w:val="zh-TW"/>
        </w:rPr>
        <w:t>规划与目标、治理结构、政策制度、环境风险管理及流程、绿色金融创新及实践案例、自身运营对环境的影响、投融资过程中对环境的影响等相关信息，为</w:t>
      </w:r>
      <w:r>
        <w:rPr>
          <w:rFonts w:eastAsia="仿宋_GB2312"/>
          <w:color w:val="000000"/>
          <w:sz w:val="32"/>
          <w:szCs w:val="32"/>
          <w:u w:color="000000"/>
          <w:lang w:val="zh-TW"/>
        </w:rPr>
        <w:t>提高透明度和信誉，增强公众知情权，不断强化为各利益相关方和社会公众提供高质量信息披露的责任意识</w:t>
      </w:r>
      <w:r>
        <w:rPr>
          <w:rFonts w:hint="eastAsia" w:eastAsia="仿宋_GB2312"/>
          <w:color w:val="000000"/>
          <w:sz w:val="32"/>
          <w:szCs w:val="32"/>
          <w:u w:color="000000"/>
          <w:lang w:val="zh-TW"/>
        </w:rPr>
        <w:t>，以促进监管</w:t>
      </w:r>
      <w:r>
        <w:rPr>
          <w:rFonts w:eastAsia="仿宋_GB2312"/>
          <w:color w:val="000000"/>
          <w:sz w:val="32"/>
          <w:szCs w:val="32"/>
          <w:u w:color="000000"/>
          <w:lang w:val="zh-TW"/>
        </w:rPr>
        <w:t>部门、</w:t>
      </w:r>
      <w:r>
        <w:rPr>
          <w:rFonts w:hint="eastAsia" w:eastAsia="仿宋_GB2312"/>
          <w:color w:val="000000"/>
          <w:sz w:val="32"/>
          <w:szCs w:val="32"/>
          <w:u w:color="000000"/>
          <w:lang w:val="zh-TW"/>
        </w:rPr>
        <w:t>各利益相关方与本行进行充分的沟通与了解。</w:t>
      </w:r>
      <w:bookmarkEnd w:id="6"/>
      <w:bookmarkEnd w:id="7"/>
      <w:bookmarkEnd w:id="8"/>
      <w:bookmarkEnd w:id="9"/>
      <w:bookmarkEnd w:id="10"/>
    </w:p>
    <w:p>
      <w:pPr>
        <w:pStyle w:val="37"/>
        <w:ind w:firstLine="643"/>
        <w:rPr>
          <w:rFonts w:ascii="Times New Roman" w:hAnsi="Times New Roman"/>
        </w:rPr>
      </w:pPr>
      <w:bookmarkStart w:id="11" w:name="_Toc38615350"/>
      <w:bookmarkStart w:id="12" w:name="_Toc42012316"/>
      <w:bookmarkStart w:id="13" w:name="_Toc38615313"/>
      <w:bookmarkStart w:id="14" w:name="_Toc70665243"/>
      <w:bookmarkStart w:id="15" w:name="_Toc39764161"/>
      <w:bookmarkStart w:id="16" w:name="_Toc38615458"/>
      <w:bookmarkStart w:id="17" w:name="_Toc434"/>
      <w:r>
        <w:rPr>
          <w:rFonts w:ascii="Times New Roman" w:hAnsi="Times New Roman"/>
        </w:rPr>
        <w:t>1.1涵盖期间</w:t>
      </w:r>
      <w:bookmarkEnd w:id="11"/>
      <w:bookmarkEnd w:id="12"/>
      <w:bookmarkEnd w:id="13"/>
      <w:bookmarkEnd w:id="14"/>
      <w:bookmarkEnd w:id="15"/>
      <w:bookmarkEnd w:id="16"/>
      <w:r>
        <w:rPr>
          <w:rFonts w:ascii="Times New Roman" w:hAnsi="Times New Roman"/>
        </w:rPr>
        <w:t> </w:t>
      </w:r>
      <w:bookmarkEnd w:id="17"/>
    </w:p>
    <w:p>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本报告涵盖期限为2023年1月1日至2023年12月31日。</w:t>
      </w:r>
      <w:bookmarkStart w:id="18" w:name="_Toc70665244"/>
      <w:bookmarkStart w:id="19" w:name="_Toc38615314"/>
      <w:bookmarkStart w:id="20" w:name="_Toc39764162"/>
      <w:bookmarkStart w:id="21" w:name="_Toc38615351"/>
      <w:bookmarkStart w:id="22" w:name="_Toc38615459"/>
      <w:bookmarkStart w:id="23" w:name="_Toc42012317"/>
    </w:p>
    <w:p>
      <w:pPr>
        <w:pStyle w:val="37"/>
        <w:ind w:firstLine="643"/>
        <w:rPr>
          <w:rFonts w:ascii="Times New Roman" w:hAnsi="Times New Roman"/>
        </w:rPr>
      </w:pPr>
      <w:bookmarkStart w:id="24" w:name="_Toc24237"/>
      <w:r>
        <w:rPr>
          <w:rFonts w:ascii="Times New Roman" w:hAnsi="Times New Roman"/>
        </w:rPr>
        <w:t>1.2报告周期</w:t>
      </w:r>
      <w:bookmarkEnd w:id="18"/>
      <w:bookmarkEnd w:id="19"/>
      <w:bookmarkEnd w:id="20"/>
      <w:bookmarkEnd w:id="21"/>
      <w:bookmarkEnd w:id="22"/>
      <w:bookmarkEnd w:id="23"/>
      <w:bookmarkEnd w:id="24"/>
    </w:p>
    <w:p>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本报告为年度报告。</w:t>
      </w:r>
    </w:p>
    <w:p>
      <w:pPr>
        <w:pStyle w:val="37"/>
        <w:ind w:firstLine="643"/>
        <w:rPr>
          <w:rFonts w:ascii="Times New Roman" w:hAnsi="Times New Roman" w:eastAsia="仿宋_GB2312"/>
          <w:kern w:val="2"/>
        </w:rPr>
      </w:pPr>
      <w:bookmarkStart w:id="25" w:name="_Toc38615315"/>
      <w:bookmarkStart w:id="26" w:name="_Toc38615352"/>
      <w:bookmarkStart w:id="27" w:name="_Toc42012318"/>
      <w:bookmarkStart w:id="28" w:name="_Toc38615460"/>
      <w:bookmarkStart w:id="29" w:name="_Toc70665245"/>
      <w:bookmarkStart w:id="30" w:name="_Toc22424"/>
      <w:bookmarkStart w:id="31" w:name="_Toc39764163"/>
      <w:r>
        <w:rPr>
          <w:rFonts w:ascii="Times New Roman" w:hAnsi="Times New Roman"/>
        </w:rPr>
        <w:t>1.3报告范围</w:t>
      </w:r>
      <w:bookmarkEnd w:id="25"/>
      <w:bookmarkEnd w:id="26"/>
      <w:bookmarkEnd w:id="27"/>
      <w:bookmarkEnd w:id="28"/>
      <w:bookmarkEnd w:id="29"/>
      <w:bookmarkEnd w:id="30"/>
      <w:bookmarkEnd w:id="31"/>
    </w:p>
    <w:p>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本报告的披露范围包含浙江安吉农村商业银行股份有限公司总部及辖内分支机构。</w:t>
      </w:r>
    </w:p>
    <w:p>
      <w:pPr>
        <w:pStyle w:val="37"/>
        <w:ind w:firstLine="643"/>
        <w:rPr>
          <w:rFonts w:ascii="Times New Roman" w:hAnsi="Times New Roman"/>
        </w:rPr>
      </w:pPr>
      <w:bookmarkStart w:id="32" w:name="_Toc38615353"/>
      <w:bookmarkStart w:id="33" w:name="_Toc70665246"/>
      <w:bookmarkStart w:id="34" w:name="_Toc38615461"/>
      <w:bookmarkStart w:id="35" w:name="_Toc38615316"/>
      <w:bookmarkStart w:id="36" w:name="_Toc42012319"/>
      <w:bookmarkStart w:id="37" w:name="_Toc39764164"/>
      <w:bookmarkStart w:id="38" w:name="_Toc10229"/>
      <w:r>
        <w:rPr>
          <w:rFonts w:ascii="Times New Roman" w:hAnsi="Times New Roman"/>
        </w:rPr>
        <w:t>1.4报告数据说明</w:t>
      </w:r>
      <w:bookmarkEnd w:id="32"/>
      <w:bookmarkEnd w:id="33"/>
      <w:bookmarkEnd w:id="34"/>
      <w:bookmarkEnd w:id="35"/>
      <w:bookmarkEnd w:id="36"/>
      <w:bookmarkEnd w:id="37"/>
      <w:bookmarkEnd w:id="38"/>
    </w:p>
    <w:p>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报告中的财务数据以2023年为主，部分包括以前年度数据，主要来自</w:t>
      </w:r>
      <w:r>
        <w:rPr>
          <w:rFonts w:hint="eastAsia" w:eastAsia="仿宋_GB2312"/>
          <w:color w:val="000000"/>
          <w:sz w:val="32"/>
          <w:szCs w:val="32"/>
          <w:u w:color="000000"/>
          <w:lang w:val="zh-TW" w:eastAsia="zh-Hans"/>
        </w:rPr>
        <w:t>第三方权威机构、</w:t>
      </w:r>
      <w:r>
        <w:rPr>
          <w:rFonts w:hint="eastAsia" w:eastAsia="仿宋_GB2312"/>
          <w:color w:val="000000"/>
          <w:sz w:val="32"/>
          <w:szCs w:val="32"/>
          <w:u w:color="000000"/>
          <w:lang w:val="zh-TW"/>
        </w:rPr>
        <w:t>本行内部文件和相关统计资料，可能会有部分数据因统计口径因素与年报数据有差异，以年报数据为准。</w:t>
      </w:r>
    </w:p>
    <w:p>
      <w:pPr>
        <w:pStyle w:val="37"/>
        <w:ind w:firstLine="643"/>
        <w:rPr>
          <w:rFonts w:ascii="Times New Roman" w:hAnsi="Times New Roman"/>
        </w:rPr>
      </w:pPr>
      <w:bookmarkStart w:id="39" w:name="_Toc39764165"/>
      <w:bookmarkStart w:id="40" w:name="_Toc42012320"/>
      <w:bookmarkStart w:id="41" w:name="_Toc38615317"/>
      <w:bookmarkStart w:id="42" w:name="_Toc38615462"/>
      <w:bookmarkStart w:id="43" w:name="_Toc1392"/>
      <w:bookmarkStart w:id="44" w:name="_Toc38615354"/>
      <w:bookmarkStart w:id="45" w:name="_Toc70665247"/>
      <w:r>
        <w:rPr>
          <w:rFonts w:ascii="Times New Roman" w:hAnsi="Times New Roman"/>
        </w:rPr>
        <w:t>1.5编制依据</w:t>
      </w:r>
      <w:bookmarkEnd w:id="39"/>
      <w:bookmarkEnd w:id="40"/>
      <w:bookmarkEnd w:id="41"/>
      <w:bookmarkEnd w:id="42"/>
      <w:bookmarkEnd w:id="43"/>
      <w:bookmarkEnd w:id="44"/>
      <w:bookmarkEnd w:id="45"/>
    </w:p>
    <w:p>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本报告内容遵循</w:t>
      </w:r>
      <w:r>
        <w:rPr>
          <w:rFonts w:hint="eastAsia" w:eastAsia="仿宋_GB2312"/>
          <w:color w:val="000000"/>
          <w:sz w:val="32"/>
          <w:szCs w:val="32"/>
          <w:u w:color="000000"/>
          <w:lang w:val="en-US" w:eastAsia="zh-CN"/>
        </w:rPr>
        <w:t>原</w:t>
      </w:r>
      <w:r>
        <w:rPr>
          <w:rFonts w:hint="eastAsia" w:eastAsia="仿宋_GB2312"/>
          <w:color w:val="000000"/>
          <w:sz w:val="32"/>
          <w:szCs w:val="32"/>
          <w:u w:color="000000"/>
          <w:lang w:val="zh-TW"/>
        </w:rPr>
        <w:t>中国银保监会</w:t>
      </w:r>
      <w:r>
        <w:rPr>
          <w:rFonts w:hint="eastAsia" w:eastAsia="仿宋_GB2312"/>
          <w:color w:val="000000"/>
          <w:sz w:val="32"/>
          <w:szCs w:val="32"/>
          <w:u w:color="000000"/>
          <w:lang w:val="zh-TW" w:eastAsia="zh-Hans"/>
        </w:rPr>
        <w:t>发布的《银行业保险业绿色金融指引》、</w:t>
      </w:r>
      <w:r>
        <w:rPr>
          <w:rFonts w:hint="eastAsia" w:eastAsia="仿宋_GB2312"/>
          <w:color w:val="000000"/>
          <w:sz w:val="32"/>
          <w:szCs w:val="32"/>
          <w:u w:color="000000"/>
          <w:lang w:val="zh-TW"/>
        </w:rPr>
        <w:t>中国人民银行</w:t>
      </w:r>
      <w:r>
        <w:rPr>
          <w:rFonts w:hint="eastAsia" w:eastAsia="仿宋_GB2312"/>
          <w:color w:val="000000"/>
          <w:sz w:val="32"/>
          <w:szCs w:val="32"/>
          <w:u w:color="000000"/>
          <w:lang w:val="en-US" w:eastAsia="zh-CN"/>
        </w:rPr>
        <w:t>发布</w:t>
      </w:r>
      <w:r>
        <w:rPr>
          <w:rFonts w:hint="eastAsia" w:eastAsia="仿宋_GB2312"/>
          <w:color w:val="000000"/>
          <w:sz w:val="32"/>
          <w:szCs w:val="32"/>
          <w:u w:color="000000"/>
          <w:lang w:val="zh-TW"/>
        </w:rPr>
        <w:t>的《金融机构环境信息披露指南》《银行业金融机构环境信息披露操作手册（试行）》等</w:t>
      </w:r>
      <w:r>
        <w:rPr>
          <w:rFonts w:hint="eastAsia" w:eastAsia="仿宋_GB2312"/>
          <w:color w:val="000000"/>
          <w:sz w:val="32"/>
          <w:szCs w:val="32"/>
          <w:u w:color="000000"/>
          <w:lang w:val="en-US" w:eastAsia="zh-CN"/>
        </w:rPr>
        <w:t>文件中的环境相关披露</w:t>
      </w:r>
      <w:r>
        <w:rPr>
          <w:rFonts w:hint="eastAsia" w:eastAsia="仿宋_GB2312"/>
          <w:color w:val="000000"/>
          <w:sz w:val="32"/>
          <w:szCs w:val="32"/>
          <w:u w:color="000000"/>
          <w:lang w:val="zh-TW"/>
        </w:rPr>
        <w:t>要求</w:t>
      </w:r>
      <w:r>
        <w:rPr>
          <w:rFonts w:hint="eastAsia" w:eastAsia="仿宋_GB2312"/>
          <w:color w:val="000000"/>
          <w:sz w:val="32"/>
          <w:szCs w:val="32"/>
          <w:u w:color="000000"/>
          <w:lang w:val="zh-TW" w:eastAsia="zh-CN"/>
        </w:rPr>
        <w:t>，</w:t>
      </w:r>
      <w:r>
        <w:rPr>
          <w:rFonts w:hint="eastAsia" w:eastAsia="仿宋_GB2312"/>
          <w:color w:val="000000"/>
          <w:sz w:val="32"/>
          <w:szCs w:val="32"/>
          <w:u w:color="000000"/>
          <w:lang w:val="en-US" w:eastAsia="zh-CN"/>
        </w:rPr>
        <w:t>结合实际情况进行编制</w:t>
      </w:r>
      <w:r>
        <w:rPr>
          <w:rFonts w:hint="eastAsia" w:eastAsia="仿宋_GB2312"/>
          <w:color w:val="000000"/>
          <w:sz w:val="32"/>
          <w:szCs w:val="32"/>
          <w:u w:color="000000"/>
          <w:lang w:val="zh-TW"/>
        </w:rPr>
        <w:t>。</w:t>
      </w:r>
    </w:p>
    <w:p>
      <w:pPr>
        <w:pStyle w:val="4"/>
        <w:ind w:firstLine="640"/>
        <w:rPr>
          <w:rFonts w:ascii="Times New Roman" w:hAnsi="Times New Roman"/>
          <w:color w:val="000000"/>
          <w:u w:color="000000"/>
          <w:lang w:val="en-US"/>
        </w:rPr>
      </w:pPr>
      <w:bookmarkStart w:id="46" w:name="_Toc42012321"/>
      <w:bookmarkStart w:id="47" w:name="_Toc16760"/>
      <w:bookmarkStart w:id="48" w:name="_Toc70665248"/>
      <w:r>
        <w:rPr>
          <w:rFonts w:ascii="Times New Roman" w:hAnsi="Times New Roman"/>
          <w:color w:val="000000"/>
          <w:u w:color="000000"/>
          <w:lang w:val="en-US"/>
        </w:rPr>
        <w:t>2年度概况</w:t>
      </w:r>
      <w:bookmarkEnd w:id="46"/>
      <w:bookmarkEnd w:id="47"/>
      <w:bookmarkEnd w:id="48"/>
    </w:p>
    <w:p>
      <w:pPr>
        <w:pStyle w:val="37"/>
        <w:ind w:firstLine="643"/>
        <w:rPr>
          <w:rFonts w:ascii="Times New Roman" w:hAnsi="Times New Roman"/>
        </w:rPr>
      </w:pPr>
      <w:bookmarkStart w:id="49" w:name="_Toc42012322"/>
      <w:bookmarkStart w:id="50" w:name="_Toc70665249"/>
      <w:bookmarkStart w:id="51" w:name="_Toc3942"/>
      <w:r>
        <w:rPr>
          <w:rFonts w:ascii="Times New Roman" w:hAnsi="Times New Roman"/>
        </w:rPr>
        <w:t>2.1总体概况</w:t>
      </w:r>
      <w:bookmarkEnd w:id="49"/>
      <w:bookmarkEnd w:id="50"/>
      <w:bookmarkEnd w:id="51"/>
    </w:p>
    <w:p>
      <w:pPr>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en-US" w:eastAsia="zh-CN"/>
        </w:rPr>
        <w:t>本行</w:t>
      </w:r>
      <w:r>
        <w:rPr>
          <w:rFonts w:hint="eastAsia" w:eastAsia="仿宋_GB2312"/>
          <w:color w:val="000000"/>
          <w:sz w:val="32"/>
          <w:szCs w:val="32"/>
          <w:u w:color="000000"/>
          <w:lang w:val="zh-TW"/>
        </w:rPr>
        <w:t>作为安吉地方金融主力军，一直承担着服务三农、普惠大众的社会职责，主动肩负起推动绿色金融发展的先锋重任，认真贯彻落实党中央、国务院关于构建绿色金融体系的战略部署，</w:t>
      </w:r>
      <w:r>
        <w:rPr>
          <w:rFonts w:hint="eastAsia" w:eastAsia="仿宋_GB2312"/>
          <w:color w:val="000000"/>
          <w:sz w:val="32"/>
          <w:szCs w:val="32"/>
          <w:u w:color="000000"/>
        </w:rPr>
        <w:t>聚焦金融五篇大文章</w:t>
      </w:r>
      <w:r>
        <w:rPr>
          <w:rFonts w:hint="eastAsia" w:eastAsia="仿宋_GB2312"/>
          <w:color w:val="000000"/>
          <w:sz w:val="32"/>
          <w:szCs w:val="32"/>
          <w:u w:color="000000"/>
          <w:lang w:val="zh-TW"/>
        </w:rPr>
        <w:t>，在全国率先探索“绿色金融+普惠金融”融合发展模式，</w:t>
      </w:r>
      <w:r>
        <w:rPr>
          <w:rFonts w:hint="eastAsia" w:eastAsia="仿宋_GB2312"/>
          <w:color w:val="000000"/>
          <w:sz w:val="32"/>
          <w:szCs w:val="32"/>
          <w:u w:color="000000"/>
        </w:rPr>
        <w:t>持续</w:t>
      </w:r>
      <w:r>
        <w:rPr>
          <w:rFonts w:hint="eastAsia" w:eastAsia="仿宋_GB2312"/>
          <w:color w:val="000000"/>
          <w:sz w:val="32"/>
          <w:szCs w:val="32"/>
          <w:u w:color="000000"/>
          <w:lang w:val="zh-TW"/>
        </w:rPr>
        <w:t>打造“绿色普惠标杆银行”，并充分利用“短、频、快”的决策优势，立足县域生态环境资源优势，研发绿色产品、渠道、服务，积极推进绿色金融改革创新。2023年主要完成以下工作：</w:t>
      </w:r>
    </w:p>
    <w:p>
      <w:pPr>
        <w:spacing w:line="560" w:lineRule="exact"/>
        <w:ind w:firstLine="643" w:firstLineChars="200"/>
        <w:outlineLvl w:val="2"/>
        <w:rPr>
          <w:rFonts w:eastAsia="仿宋_GB2312"/>
          <w:b/>
          <w:bCs/>
          <w:sz w:val="32"/>
          <w:szCs w:val="32"/>
        </w:rPr>
      </w:pPr>
      <w:bookmarkStart w:id="52" w:name="_Toc24893"/>
      <w:r>
        <w:rPr>
          <w:rFonts w:eastAsia="楷体_GB2312"/>
          <w:b/>
          <w:sz w:val="32"/>
          <w:szCs w:val="32"/>
        </w:rPr>
        <w:t>2.1.1</w:t>
      </w:r>
      <w:bookmarkEnd w:id="52"/>
      <w:bookmarkStart w:id="53" w:name="_Toc13249"/>
      <w:bookmarkStart w:id="54" w:name="_Toc10766"/>
      <w:r>
        <w:rPr>
          <w:rFonts w:hint="eastAsia" w:eastAsia="仿宋_GB2312"/>
          <w:b/>
          <w:bCs/>
          <w:sz w:val="32"/>
          <w:szCs w:val="32"/>
        </w:rPr>
        <w:t>推进</w:t>
      </w:r>
      <w:r>
        <w:rPr>
          <w:rFonts w:eastAsia="仿宋_GB2312"/>
          <w:b/>
          <w:bCs/>
          <w:sz w:val="32"/>
          <w:szCs w:val="32"/>
        </w:rPr>
        <w:t>“碳中和”银行建设</w:t>
      </w:r>
      <w:bookmarkEnd w:id="53"/>
    </w:p>
    <w:p>
      <w:pPr>
        <w:spacing w:line="560" w:lineRule="exact"/>
        <w:ind w:firstLine="640" w:firstLineChars="200"/>
        <w:outlineLvl w:val="2"/>
        <w:rPr>
          <w:rFonts w:ascii="仿宋_GB2312" w:hAnsi="仿宋_GB2312" w:eastAsia="仿宋_GB2312" w:cs="仿宋_GB2312"/>
          <w:sz w:val="32"/>
          <w:szCs w:val="32"/>
        </w:rPr>
      </w:pPr>
      <w:bookmarkStart w:id="55" w:name="_Toc13128"/>
      <w:r>
        <w:rPr>
          <w:rFonts w:eastAsia="仿宋_GB2312"/>
          <w:sz w:val="32"/>
          <w:szCs w:val="32"/>
        </w:rPr>
        <w:t>围</w:t>
      </w:r>
      <w:r>
        <w:rPr>
          <w:rFonts w:eastAsia="仿宋_GB2312"/>
          <w:color w:val="000000"/>
          <w:sz w:val="32"/>
          <w:szCs w:val="32"/>
          <w:u w:color="000000"/>
        </w:rPr>
        <w:t>绕</w:t>
      </w:r>
      <w:r>
        <w:rPr>
          <w:rFonts w:hint="eastAsia" w:eastAsia="仿宋_GB2312"/>
          <w:color w:val="000000"/>
          <w:sz w:val="32"/>
          <w:szCs w:val="32"/>
          <w:u w:color="000000"/>
          <w:lang w:val="zh-TW"/>
        </w:rPr>
        <w:t>“碳中和”</w:t>
      </w:r>
      <w:r>
        <w:rPr>
          <w:rFonts w:eastAsia="仿宋_GB2312"/>
          <w:color w:val="000000"/>
          <w:sz w:val="32"/>
          <w:szCs w:val="32"/>
          <w:u w:color="000000"/>
        </w:rPr>
        <w:t>银行建设规划，</w:t>
      </w:r>
      <w:r>
        <w:rPr>
          <w:rFonts w:eastAsia="仿宋_GB2312"/>
          <w:color w:val="000000"/>
          <w:sz w:val="32"/>
          <w:szCs w:val="32"/>
          <w:u w:color="000000"/>
          <w:lang w:val="zh-TW"/>
        </w:rPr>
        <w:t>本行全面总结和梳理</w:t>
      </w:r>
      <w:r>
        <w:rPr>
          <w:rFonts w:hint="eastAsia" w:eastAsia="仿宋_GB2312"/>
          <w:color w:val="000000"/>
          <w:sz w:val="32"/>
          <w:szCs w:val="32"/>
          <w:u w:color="000000"/>
          <w:lang w:val="zh-TW"/>
        </w:rPr>
        <w:t>“碳中和”</w:t>
      </w:r>
      <w:r>
        <w:rPr>
          <w:rFonts w:eastAsia="仿宋_GB2312"/>
          <w:color w:val="000000"/>
          <w:sz w:val="32"/>
          <w:szCs w:val="32"/>
          <w:u w:color="000000"/>
          <w:lang w:val="zh-TW"/>
        </w:rPr>
        <w:t>银行建设的阶段性成果，发布《安吉农商银行“碳中和”银行白皮</w:t>
      </w:r>
      <w:r>
        <w:rPr>
          <w:rFonts w:hint="eastAsia" w:eastAsia="仿宋_GB2312"/>
          <w:color w:val="000000"/>
          <w:sz w:val="32"/>
          <w:szCs w:val="32"/>
          <w:u w:color="000000"/>
          <w:lang w:val="zh-TW"/>
        </w:rPr>
        <w:t>书（2022版）》</w:t>
      </w:r>
      <w:r>
        <w:rPr>
          <w:rFonts w:eastAsia="仿宋_GB2312"/>
          <w:color w:val="000000"/>
          <w:sz w:val="32"/>
          <w:szCs w:val="32"/>
          <w:u w:color="000000"/>
          <w:lang w:val="zh-TW"/>
        </w:rPr>
        <w:t>，推进</w:t>
      </w:r>
      <w:r>
        <w:rPr>
          <w:rFonts w:hint="eastAsia" w:eastAsia="仿宋_GB2312"/>
          <w:color w:val="000000"/>
          <w:sz w:val="32"/>
          <w:szCs w:val="32"/>
          <w:u w:color="000000"/>
          <w:lang w:val="zh-TW"/>
        </w:rPr>
        <w:t>“碳中和”</w:t>
      </w:r>
      <w:r>
        <w:rPr>
          <w:rFonts w:eastAsia="仿宋_GB2312"/>
          <w:color w:val="000000"/>
          <w:sz w:val="32"/>
          <w:szCs w:val="32"/>
          <w:u w:color="000000"/>
          <w:lang w:val="zh-TW"/>
        </w:rPr>
        <w:t>系统应用，加强绿色办公考核，</w:t>
      </w:r>
      <w:r>
        <w:rPr>
          <w:rFonts w:hint="eastAsia" w:eastAsia="仿宋_GB2312"/>
          <w:color w:val="000000"/>
          <w:sz w:val="32"/>
          <w:szCs w:val="32"/>
          <w:u w:color="000000"/>
        </w:rPr>
        <w:t>持续推进</w:t>
      </w:r>
      <w:r>
        <w:rPr>
          <w:rFonts w:hint="eastAsia" w:eastAsia="仿宋_GB2312"/>
          <w:color w:val="000000"/>
          <w:sz w:val="32"/>
          <w:szCs w:val="32"/>
          <w:u w:color="000000"/>
          <w:lang w:val="zh-TW"/>
        </w:rPr>
        <w:t>“碳中和”网点</w:t>
      </w:r>
      <w:r>
        <w:rPr>
          <w:rFonts w:hint="eastAsia" w:eastAsia="仿宋_GB2312"/>
          <w:color w:val="000000"/>
          <w:sz w:val="32"/>
          <w:szCs w:val="32"/>
          <w:u w:color="000000"/>
        </w:rPr>
        <w:t>建设</w:t>
      </w:r>
      <w:r>
        <w:rPr>
          <w:rFonts w:hint="eastAsia" w:ascii="仿宋_GB2312" w:hAnsi="仿宋_GB2312" w:eastAsia="仿宋_GB2312" w:cs="仿宋_GB2312"/>
          <w:sz w:val="32"/>
          <w:szCs w:val="32"/>
        </w:rPr>
        <w:t>，辖内2家网点被湖州市银行业协会评为“碳中和”星级网点。</w:t>
      </w:r>
      <w:bookmarkEnd w:id="55"/>
    </w:p>
    <w:bookmarkEnd w:id="54"/>
    <w:p>
      <w:pPr>
        <w:pStyle w:val="37"/>
        <w:ind w:firstLine="643"/>
        <w:rPr>
          <w:rFonts w:ascii="仿宋_GB2312" w:hAnsi="仿宋_GB2312" w:eastAsia="仿宋_GB2312" w:cs="仿宋_GB2312"/>
          <w:kern w:val="2"/>
          <w:lang w:val="en-US" w:eastAsia="zh-CN"/>
        </w:rPr>
      </w:pPr>
      <w:bookmarkStart w:id="56" w:name="_Toc8685"/>
      <w:r>
        <w:rPr>
          <w:rFonts w:ascii="Times New Roman" w:hAnsi="Times New Roman"/>
          <w:kern w:val="2"/>
          <w:lang w:val="en-US" w:eastAsia="zh-CN"/>
        </w:rPr>
        <w:t>2.1.2</w:t>
      </w:r>
      <w:r>
        <w:rPr>
          <w:rFonts w:hint="eastAsia" w:ascii="仿宋_GB2312" w:hAnsi="仿宋_GB2312" w:eastAsia="仿宋_GB2312" w:cs="仿宋_GB2312"/>
          <w:kern w:val="2"/>
          <w:lang w:val="en-US" w:eastAsia="zh-CN"/>
        </w:rPr>
        <w:t>完善产品服务体系</w:t>
      </w:r>
      <w:bookmarkEnd w:id="56"/>
    </w:p>
    <w:p>
      <w:pPr>
        <w:spacing w:line="560" w:lineRule="exact"/>
        <w:ind w:firstLine="640" w:firstLineChars="200"/>
        <w:outlineLvl w:val="2"/>
        <w:rPr>
          <w:rFonts w:eastAsia="仿宋_GB2312"/>
          <w:sz w:val="32"/>
          <w:szCs w:val="32"/>
        </w:rPr>
      </w:pPr>
      <w:bookmarkStart w:id="57" w:name="_Toc22272"/>
      <w:bookmarkStart w:id="58" w:name="_Toc20535"/>
      <w:r>
        <w:rPr>
          <w:rFonts w:eastAsia="仿宋_GB2312"/>
          <w:sz w:val="32"/>
          <w:szCs w:val="32"/>
        </w:rPr>
        <w:t>创新</w:t>
      </w:r>
      <w:r>
        <w:rPr>
          <w:rFonts w:ascii="仿宋_GB2312" w:hAnsi="仿宋_GB2312" w:eastAsia="仿宋_GB2312" w:cs="仿宋_GB2312"/>
          <w:sz w:val="32"/>
          <w:szCs w:val="32"/>
        </w:rPr>
        <w:t>推出“生态修复贷”，支持废弃矿坑、厂房等废旧资源改造修复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创新推出“绿汇贷”，专项支持</w:t>
      </w:r>
      <w:r>
        <w:rPr>
          <w:rFonts w:hint="eastAsia" w:ascii="仿宋_GB2312" w:hAnsi="仿宋_GB2312" w:eastAsia="仿宋_GB2312" w:cs="仿宋_GB2312"/>
          <w:sz w:val="32"/>
          <w:szCs w:val="32"/>
        </w:rPr>
        <w:t>县域</w:t>
      </w:r>
      <w:r>
        <w:rPr>
          <w:rFonts w:ascii="仿宋_GB2312" w:hAnsi="仿宋_GB2312" w:eastAsia="仿宋_GB2312" w:cs="仿宋_GB2312"/>
          <w:sz w:val="32"/>
          <w:szCs w:val="32"/>
        </w:rPr>
        <w:t>外贸企业绿色低碳循环发展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联合</w:t>
      </w:r>
      <w:r>
        <w:rPr>
          <w:rFonts w:hint="eastAsia" w:ascii="仿宋_GB2312" w:hAnsi="仿宋_GB2312" w:eastAsia="仿宋_GB2312" w:cs="仿宋_GB2312"/>
          <w:sz w:val="32"/>
          <w:szCs w:val="32"/>
          <w:lang w:val="en-US" w:eastAsia="zh-CN"/>
        </w:rPr>
        <w:t>安吉</w:t>
      </w:r>
      <w:r>
        <w:rPr>
          <w:rFonts w:hint="eastAsia" w:ascii="仿宋_GB2312" w:hAnsi="仿宋_GB2312" w:eastAsia="仿宋_GB2312" w:cs="仿宋_GB2312"/>
          <w:sz w:val="32"/>
          <w:szCs w:val="32"/>
        </w:rPr>
        <w:t>县级相关部门</w:t>
      </w:r>
      <w:r>
        <w:rPr>
          <w:rFonts w:ascii="仿宋_GB2312" w:hAnsi="仿宋_GB2312" w:eastAsia="仿宋_GB2312" w:cs="仿宋_GB2312"/>
          <w:sz w:val="32"/>
          <w:szCs w:val="32"/>
        </w:rPr>
        <w:t>，创新推出“排污权专项贷款”“GEP贷”</w:t>
      </w:r>
      <w:r>
        <w:rPr>
          <w:rFonts w:hint="eastAsia" w:ascii="仿宋_GB2312" w:hAnsi="仿宋_GB2312" w:eastAsia="仿宋_GB2312" w:cs="仿宋_GB2312"/>
          <w:sz w:val="32"/>
          <w:szCs w:val="32"/>
        </w:rPr>
        <w:t>等产品</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制定实施《安吉县农贸市场“以竹代塑”应用推广实施方案》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助力</w:t>
      </w:r>
      <w:r>
        <w:rPr>
          <w:rFonts w:hint="eastAsia" w:ascii="仿宋_GB2312" w:hAnsi="仿宋_GB2312" w:eastAsia="仿宋_GB2312" w:cs="仿宋_GB2312"/>
          <w:sz w:val="32"/>
          <w:szCs w:val="32"/>
        </w:rPr>
        <w:t>地方经济绿色低碳发展；</w:t>
      </w:r>
      <w:r>
        <w:rPr>
          <w:rFonts w:ascii="仿宋_GB2312" w:hAnsi="仿宋_GB2312" w:eastAsia="仿宋_GB2312" w:cs="仿宋_GB2312"/>
          <w:sz w:val="32"/>
          <w:szCs w:val="32"/>
        </w:rPr>
        <w:t>将“两山绿币”成功上架至浙里办“碳普惠”</w:t>
      </w:r>
      <w:r>
        <w:rPr>
          <w:rFonts w:eastAsia="仿宋_GB2312"/>
          <w:sz w:val="32"/>
          <w:szCs w:val="32"/>
        </w:rPr>
        <w:t>平台，逐步建成“省级积分集成+县级特色应用”的推广机制</w:t>
      </w:r>
      <w:r>
        <w:rPr>
          <w:rFonts w:hint="eastAsia" w:eastAsia="仿宋_GB2312"/>
          <w:sz w:val="32"/>
          <w:szCs w:val="32"/>
        </w:rPr>
        <w:t>，倡导居民践行绿色生活方式</w:t>
      </w:r>
      <w:r>
        <w:rPr>
          <w:rFonts w:eastAsia="仿宋_GB2312"/>
          <w:sz w:val="32"/>
          <w:szCs w:val="32"/>
        </w:rPr>
        <w:t>。</w:t>
      </w:r>
      <w:bookmarkEnd w:id="57"/>
    </w:p>
    <w:bookmarkEnd w:id="58"/>
    <w:p>
      <w:pPr>
        <w:pStyle w:val="37"/>
        <w:ind w:firstLine="643"/>
        <w:rPr>
          <w:rFonts w:ascii="Times New Roman" w:hAnsi="Times New Roman"/>
          <w:kern w:val="2"/>
          <w:lang w:val="en-US" w:eastAsia="zh-CN"/>
        </w:rPr>
      </w:pPr>
      <w:bookmarkStart w:id="59" w:name="_Toc6836"/>
      <w:r>
        <w:rPr>
          <w:rFonts w:ascii="Times New Roman" w:hAnsi="Times New Roman"/>
          <w:kern w:val="2"/>
          <w:lang w:val="en-US" w:eastAsia="zh-CN"/>
        </w:rPr>
        <w:t>2.1.</w:t>
      </w:r>
      <w:r>
        <w:rPr>
          <w:rFonts w:hint="eastAsia" w:ascii="Times New Roman" w:hAnsi="Times New Roman"/>
          <w:kern w:val="2"/>
          <w:lang w:val="en-US" w:eastAsia="zh-CN"/>
        </w:rPr>
        <w:t>3</w:t>
      </w:r>
      <w:r>
        <w:rPr>
          <w:rFonts w:ascii="Times New Roman" w:hAnsi="Times New Roman" w:eastAsia="仿宋_GB2312"/>
          <w:bCs/>
          <w:kern w:val="2"/>
          <w:lang w:val="en-US" w:eastAsia="zh-CN"/>
        </w:rPr>
        <w:t>提升自身能力建设</w:t>
      </w:r>
      <w:bookmarkEnd w:id="59"/>
    </w:p>
    <w:p>
      <w:pPr>
        <w:spacing w:line="560" w:lineRule="exact"/>
        <w:ind w:firstLine="640" w:firstLineChars="200"/>
        <w:outlineLvl w:val="2"/>
        <w:rPr>
          <w:rFonts w:ascii="仿宋_GB2312" w:eastAsia="仿宋_GB2312"/>
          <w:sz w:val="32"/>
          <w:szCs w:val="32"/>
          <w:highlight w:val="lightGray"/>
        </w:rPr>
      </w:pPr>
      <w:bookmarkStart w:id="60" w:name="_Toc13568"/>
      <w:r>
        <w:rPr>
          <w:rFonts w:hint="eastAsia" w:eastAsia="仿宋_GB2312"/>
          <w:sz w:val="32"/>
          <w:szCs w:val="32"/>
        </w:rPr>
        <w:t>加入中国金融学会绿色金融专业委员会组织的“绿色金融创新研究组”“绿色普惠融合发展工作组”等课题组，加强重点领域课题研究；根据《负责任银行原则》，开展影响分析和目标设定，完成首次信息披露；在可持续信息披露方面率先开展研究，成为“</w:t>
      </w:r>
      <w:r>
        <w:rPr>
          <w:rFonts w:hint="eastAsia" w:ascii="仿宋_GB2312" w:hAnsi="仿宋_GB2312" w:eastAsia="仿宋_GB2312" w:cs="仿宋_GB2312"/>
          <w:sz w:val="32"/>
          <w:szCs w:val="32"/>
        </w:rPr>
        <w:t>ISSB</w:t>
      </w:r>
      <w:r>
        <w:rPr>
          <w:rFonts w:hint="eastAsia" w:eastAsia="仿宋_GB2312"/>
          <w:sz w:val="32"/>
          <w:szCs w:val="32"/>
        </w:rPr>
        <w:t>国际可持续披露准则先学伙伴”。</w:t>
      </w:r>
      <w:bookmarkEnd w:id="60"/>
    </w:p>
    <w:p>
      <w:pPr>
        <w:pStyle w:val="37"/>
        <w:ind w:firstLine="643"/>
        <w:rPr>
          <w:rFonts w:ascii="Times New Roman" w:hAnsi="Times New Roman"/>
          <w:kern w:val="2"/>
          <w:lang w:val="en-US" w:eastAsia="zh-CN"/>
        </w:rPr>
      </w:pPr>
      <w:bookmarkStart w:id="61" w:name="_Toc19288"/>
      <w:r>
        <w:rPr>
          <w:rFonts w:hint="eastAsia" w:ascii="Times New Roman" w:hAnsi="Times New Roman"/>
          <w:kern w:val="2"/>
          <w:lang w:val="en-US" w:eastAsia="zh-CN"/>
        </w:rPr>
        <w:t>2.1.4</w:t>
      </w:r>
      <w:r>
        <w:rPr>
          <w:rFonts w:ascii="Times New Roman" w:hAnsi="Times New Roman" w:eastAsia="仿宋_GB2312"/>
          <w:bCs/>
          <w:kern w:val="2"/>
          <w:lang w:val="en-US" w:eastAsia="zh-CN"/>
        </w:rPr>
        <w:t>开展相关交流活动</w:t>
      </w:r>
      <w:bookmarkEnd w:id="61"/>
    </w:p>
    <w:p>
      <w:pPr>
        <w:spacing w:line="560" w:lineRule="exact"/>
        <w:ind w:firstLine="640" w:firstLineChars="200"/>
        <w:outlineLvl w:val="2"/>
        <w:rPr>
          <w:rFonts w:eastAsia="仿宋_GB2312"/>
          <w:sz w:val="32"/>
          <w:szCs w:val="32"/>
        </w:rPr>
      </w:pPr>
      <w:bookmarkStart w:id="62" w:name="_Toc22602"/>
      <w:r>
        <w:rPr>
          <w:rFonts w:ascii="仿宋_GB2312" w:hAnsi="仿宋_GB2312" w:eastAsia="仿宋_GB2312" w:cs="仿宋_GB2312"/>
          <w:sz w:val="32"/>
          <w:szCs w:val="32"/>
        </w:rPr>
        <w:t>参加联合国教科文组织和国际竹藤组织联合举办的“竹乡碳计”案例分享会</w:t>
      </w:r>
      <w:r>
        <w:rPr>
          <w:rFonts w:hint="eastAsia" w:ascii="仿宋_GB2312" w:hAnsi="仿宋_GB2312" w:eastAsia="仿宋_GB2312" w:cs="仿宋_GB2312"/>
          <w:sz w:val="32"/>
          <w:szCs w:val="32"/>
        </w:rPr>
        <w:t>、低碳赋能未来乡村发展国际学术研讨会等各类会议；</w:t>
      </w:r>
      <w:r>
        <w:rPr>
          <w:rFonts w:ascii="仿宋_GB2312" w:hAnsi="仿宋_GB2312" w:eastAsia="仿宋_GB2312" w:cs="仿宋_GB2312"/>
          <w:sz w:val="32"/>
          <w:szCs w:val="32"/>
        </w:rPr>
        <w:t>开发《绿色金融与普惠金融融合发展之路》等课程，</w:t>
      </w:r>
      <w:r>
        <w:rPr>
          <w:rFonts w:hint="eastAsia" w:ascii="仿宋_GB2312" w:hAnsi="仿宋_GB2312" w:eastAsia="仿宋_GB2312" w:cs="仿宋_GB2312"/>
          <w:sz w:val="32"/>
          <w:szCs w:val="32"/>
        </w:rPr>
        <w:t>与来访单位分享绿色普惠金融实践做法，并与</w:t>
      </w:r>
      <w:r>
        <w:rPr>
          <w:rFonts w:ascii="仿宋_GB2312" w:hAnsi="仿宋_GB2312" w:eastAsia="仿宋_GB2312" w:cs="仿宋_GB2312"/>
          <w:sz w:val="32"/>
          <w:szCs w:val="32"/>
        </w:rPr>
        <w:t>青海河南农商银行</w:t>
      </w:r>
      <w:r>
        <w:rPr>
          <w:rFonts w:hint="eastAsia" w:ascii="仿宋_GB2312" w:hAnsi="仿宋_GB2312" w:eastAsia="仿宋_GB2312" w:cs="仿宋_GB2312"/>
          <w:sz w:val="32"/>
          <w:szCs w:val="32"/>
        </w:rPr>
        <w:t>结对合作；</w:t>
      </w:r>
      <w:r>
        <w:rPr>
          <w:rFonts w:ascii="仿宋_GB2312" w:hAnsi="仿宋_GB2312" w:eastAsia="仿宋_GB2312" w:cs="仿宋_GB2312"/>
          <w:sz w:val="32"/>
          <w:szCs w:val="32"/>
        </w:rPr>
        <w:t>以“植树节”“环卫工人节”等主题日为契机，开展</w:t>
      </w:r>
      <w:r>
        <w:rPr>
          <w:rFonts w:hint="eastAsia" w:ascii="仿宋_GB2312" w:hAnsi="仿宋_GB2312" w:eastAsia="仿宋_GB2312" w:cs="仿宋_GB2312"/>
          <w:sz w:val="32"/>
          <w:szCs w:val="32"/>
        </w:rPr>
        <w:t>绿色</w:t>
      </w:r>
      <w:r>
        <w:rPr>
          <w:rFonts w:ascii="仿宋_GB2312" w:hAnsi="仿宋_GB2312" w:eastAsia="仿宋_GB2312" w:cs="仿宋_GB2312"/>
          <w:sz w:val="32"/>
          <w:szCs w:val="32"/>
        </w:rPr>
        <w:t>公益活动</w:t>
      </w:r>
      <w:r>
        <w:rPr>
          <w:rFonts w:hint="eastAsia" w:ascii="仿宋_GB2312" w:hAnsi="仿宋_GB2312" w:eastAsia="仿宋_GB2312" w:cs="仿宋_GB2312"/>
          <w:sz w:val="32"/>
          <w:szCs w:val="32"/>
        </w:rPr>
        <w:t>；依托</w:t>
      </w:r>
      <w:r>
        <w:rPr>
          <w:rFonts w:ascii="仿宋_GB2312" w:hAnsi="仿宋_GB2312" w:eastAsia="仿宋_GB2312" w:cs="仿宋_GB2312"/>
          <w:sz w:val="32"/>
          <w:szCs w:val="32"/>
        </w:rPr>
        <w:t>浙江省级金融教育示范基地</w:t>
      </w:r>
      <w:r>
        <w:rPr>
          <w:rFonts w:hint="eastAsia" w:ascii="仿宋_GB2312" w:hAnsi="仿宋_GB2312" w:eastAsia="仿宋_GB2312" w:cs="仿宋_GB2312"/>
          <w:sz w:val="32"/>
          <w:szCs w:val="32"/>
        </w:rPr>
        <w:t>，开展绿色低碳宣传活动</w:t>
      </w:r>
      <w:r>
        <w:rPr>
          <w:rFonts w:ascii="仿宋_GB2312" w:hAnsi="仿宋_GB2312" w:eastAsia="仿宋_GB2312" w:cs="仿宋_GB2312"/>
          <w:sz w:val="32"/>
          <w:szCs w:val="32"/>
        </w:rPr>
        <w:t>。</w:t>
      </w:r>
      <w:bookmarkEnd w:id="62"/>
    </w:p>
    <w:p>
      <w:pPr>
        <w:pStyle w:val="37"/>
        <w:ind w:firstLine="643"/>
        <w:rPr>
          <w:rFonts w:ascii="Times New Roman" w:hAnsi="Times New Roman"/>
          <w:lang w:eastAsia="zh-CN"/>
        </w:rPr>
      </w:pPr>
      <w:bookmarkStart w:id="63" w:name="_Toc625"/>
      <w:bookmarkStart w:id="64" w:name="_Toc70665250"/>
      <w:r>
        <w:rPr>
          <w:rFonts w:ascii="Times New Roman" w:hAnsi="Times New Roman"/>
        </w:rPr>
        <w:t>2.2关键成果绩效</w:t>
      </w:r>
      <w:bookmarkEnd w:id="63"/>
      <w:bookmarkEnd w:id="64"/>
    </w:p>
    <w:p>
      <w:pPr>
        <w:pStyle w:val="37"/>
        <w:ind w:firstLine="643"/>
        <w:rPr>
          <w:rFonts w:ascii="Times New Roman" w:hAnsi="Times New Roman"/>
          <w:kern w:val="2"/>
          <w:lang w:val="en-US" w:eastAsia="zh-CN"/>
        </w:rPr>
      </w:pPr>
      <w:bookmarkStart w:id="65" w:name="_Toc3635"/>
      <w:r>
        <w:rPr>
          <w:rFonts w:ascii="Times New Roman" w:hAnsi="Times New Roman"/>
          <w:kern w:val="2"/>
          <w:lang w:val="en-US" w:eastAsia="zh-CN"/>
        </w:rPr>
        <w:t>2.2.1绿色金融业务情况</w:t>
      </w:r>
      <w:bookmarkEnd w:id="65"/>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按照国家标准统计口径,截至</w:t>
      </w:r>
      <w:r>
        <w:rPr>
          <w:rFonts w:hint="eastAsia" w:eastAsia="仿宋_GB2312"/>
          <w:color w:val="000000"/>
          <w:sz w:val="32"/>
          <w:szCs w:val="32"/>
          <w:u w:color="000000"/>
          <w:lang w:val="zh-TW"/>
        </w:rPr>
        <w:t>2023年12</w:t>
      </w:r>
      <w:r>
        <w:rPr>
          <w:rFonts w:eastAsia="仿宋_GB2312"/>
          <w:sz w:val="32"/>
          <w:szCs w:val="32"/>
          <w:u w:color="000000"/>
          <w:lang w:val="zh-TW"/>
        </w:rPr>
        <w:t>月末，本行绿色信贷余额</w:t>
      </w:r>
      <w:r>
        <w:rPr>
          <w:rFonts w:hint="eastAsia" w:eastAsia="仿宋_GB2312"/>
          <w:color w:val="000000"/>
          <w:sz w:val="32"/>
          <w:szCs w:val="32"/>
          <w:u w:color="000000"/>
          <w:lang w:val="zh-TW"/>
        </w:rPr>
        <w:t>142.75亿元，较年初新增36.42亿元，增幅34.25%，占比所有贷款32.69%；绿色金融债券余额1亿元；通过绿贷通平台完成企业授信7432户，授信金额达327.78亿元</w:t>
      </w:r>
      <w:r>
        <w:rPr>
          <w:rFonts w:eastAsia="仿宋_GB2312"/>
          <w:sz w:val="32"/>
          <w:szCs w:val="32"/>
          <w:u w:color="000000"/>
          <w:lang w:val="zh-TW"/>
        </w:rPr>
        <w:t>。</w:t>
      </w:r>
      <w:r>
        <w:rPr>
          <w:rFonts w:eastAsia="仿宋_GB2312"/>
          <w:sz w:val="32"/>
          <w:szCs w:val="32"/>
        </w:rPr>
        <w:t>绿色信贷业绩评价在浙江省</w:t>
      </w:r>
      <w:r>
        <w:rPr>
          <w:rFonts w:hint="eastAsia" w:eastAsia="仿宋_GB2312"/>
          <w:color w:val="000000"/>
          <w:sz w:val="32"/>
          <w:szCs w:val="32"/>
          <w:u w:color="000000"/>
          <w:lang w:val="zh-TW"/>
        </w:rPr>
        <w:t xml:space="preserve"> </w:t>
      </w:r>
      <w:r>
        <w:rPr>
          <w:rFonts w:hint="eastAsia" w:eastAsia="仿宋_GB2312"/>
          <w:color w:val="000000"/>
          <w:sz w:val="32"/>
          <w:szCs w:val="32"/>
          <w:highlight w:val="none"/>
          <w:u w:color="000000"/>
          <w:lang w:val="zh-TW"/>
        </w:rPr>
        <w:t xml:space="preserve">178 </w:t>
      </w:r>
      <w:r>
        <w:rPr>
          <w:rFonts w:eastAsia="仿宋_GB2312"/>
          <w:sz w:val="32"/>
          <w:szCs w:val="32"/>
          <w:highlight w:val="none"/>
        </w:rPr>
        <w:t>家法人银行业存款类金融机构中持续位居前列，</w:t>
      </w:r>
      <w:r>
        <w:rPr>
          <w:rFonts w:ascii="仿宋_GB2312" w:hAnsi="仿宋_GB2312" w:eastAsia="仿宋_GB2312" w:cs="仿宋_GB2312"/>
          <w:sz w:val="32"/>
          <w:szCs w:val="32"/>
          <w:highlight w:val="none"/>
        </w:rPr>
        <w:t>连续</w:t>
      </w:r>
      <w:r>
        <w:rPr>
          <w:rFonts w:hint="eastAsia" w:ascii="仿宋_GB2312" w:hAnsi="仿宋_GB2312" w:eastAsia="仿宋_GB2312" w:cs="仿宋_GB2312"/>
          <w:sz w:val="32"/>
          <w:szCs w:val="32"/>
          <w:highlight w:val="none"/>
          <w:lang w:val="en-US" w:eastAsia="zh-CN"/>
        </w:rPr>
        <w:t>七</w:t>
      </w:r>
      <w:r>
        <w:rPr>
          <w:rFonts w:ascii="仿宋_GB2312" w:hAnsi="仿宋_GB2312" w:eastAsia="仿宋_GB2312" w:cs="仿宋_GB2312"/>
          <w:sz w:val="32"/>
          <w:szCs w:val="32"/>
          <w:highlight w:val="none"/>
        </w:rPr>
        <w:t>年获评湖州市绿色银行“BBB”级（全市参评银行机构最高评级）</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rPr>
        <w:t>湖州市国家绿色金融改革创新试验区建设优秀</w:t>
      </w:r>
      <w:r>
        <w:rPr>
          <w:rFonts w:eastAsia="仿宋_GB2312"/>
          <w:sz w:val="32"/>
          <w:szCs w:val="32"/>
        </w:rPr>
        <w:t>单位</w:t>
      </w:r>
      <w:r>
        <w:rPr>
          <w:rFonts w:eastAsia="仿宋_GB2312"/>
          <w:sz w:val="32"/>
          <w:szCs w:val="32"/>
          <w:u w:color="000000"/>
          <w:lang w:val="zh-TW"/>
        </w:rPr>
        <w:t>。</w:t>
      </w:r>
    </w:p>
    <w:p>
      <w:pPr>
        <w:pStyle w:val="37"/>
        <w:ind w:firstLine="643"/>
        <w:rPr>
          <w:rFonts w:ascii="Times New Roman" w:hAnsi="Times New Roman"/>
          <w:kern w:val="2"/>
          <w:lang w:val="en-US" w:eastAsia="zh-CN"/>
        </w:rPr>
      </w:pPr>
      <w:bookmarkStart w:id="66" w:name="_Toc5303"/>
      <w:r>
        <w:rPr>
          <w:rFonts w:ascii="Times New Roman" w:hAnsi="Times New Roman"/>
          <w:kern w:val="2"/>
          <w:lang w:val="en-US" w:eastAsia="zh-CN"/>
        </w:rPr>
        <w:t>2.2.2绿色办公运营情况</w:t>
      </w:r>
      <w:bookmarkEnd w:id="66"/>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本行积</w:t>
      </w:r>
      <w:r>
        <w:rPr>
          <w:rFonts w:ascii="仿宋_GB2312" w:hAnsi="仿宋_GB2312" w:eastAsia="仿宋_GB2312" w:cs="仿宋_GB2312"/>
          <w:sz w:val="32"/>
          <w:szCs w:val="32"/>
          <w:lang w:val="zh-TW"/>
        </w:rPr>
        <w:t>极开展“碳中和”银行绿色办公实践，从“员工低碳办公常态化”“低碳出行节能降耗”“落实垃圾分类”“推进减纸化办公”“定期公布能耗数据”等方面开展绿色运营碳足迹管理</w:t>
      </w:r>
      <w:r>
        <w:rPr>
          <w:rFonts w:eastAsia="仿宋_GB2312"/>
          <w:sz w:val="32"/>
          <w:szCs w:val="32"/>
          <w:u w:color="000000"/>
          <w:lang w:val="zh-TW"/>
        </w:rPr>
        <w:t>。</w:t>
      </w:r>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截至</w:t>
      </w:r>
      <w:r>
        <w:rPr>
          <w:rFonts w:hint="eastAsia" w:eastAsia="仿宋_GB2312"/>
          <w:sz w:val="32"/>
          <w:szCs w:val="32"/>
          <w:u w:color="000000"/>
          <w:lang w:val="zh-TW"/>
        </w:rPr>
        <w:t>2023年</w:t>
      </w:r>
      <w:r>
        <w:rPr>
          <w:rFonts w:hint="eastAsia" w:eastAsia="仿宋_GB2312"/>
          <w:color w:val="000000"/>
          <w:sz w:val="32"/>
          <w:szCs w:val="32"/>
          <w:u w:color="000000"/>
          <w:lang w:val="zh-TW"/>
        </w:rPr>
        <w:t>12</w:t>
      </w:r>
      <w:r>
        <w:rPr>
          <w:rFonts w:eastAsia="仿宋_GB2312"/>
          <w:sz w:val="32"/>
          <w:szCs w:val="32"/>
          <w:u w:color="000000"/>
          <w:lang w:val="zh-TW"/>
        </w:rPr>
        <w:t>月末，本行自有交通运输工具所消耗的燃油</w:t>
      </w:r>
      <w:r>
        <w:rPr>
          <w:rFonts w:hint="eastAsia" w:eastAsia="仿宋_GB2312"/>
          <w:color w:val="000000"/>
          <w:sz w:val="32"/>
          <w:szCs w:val="32"/>
          <w:u w:color="000000"/>
          <w:lang w:val="zh-TW"/>
        </w:rPr>
        <w:t>11161</w:t>
      </w:r>
      <w:r>
        <w:rPr>
          <w:rFonts w:eastAsia="仿宋_GB2312"/>
          <w:sz w:val="32"/>
          <w:szCs w:val="32"/>
          <w:u w:color="000000"/>
          <w:lang w:val="zh-TW"/>
        </w:rPr>
        <w:t>升；营业、办公活动所消耗的纸张</w:t>
      </w:r>
      <w:r>
        <w:rPr>
          <w:rFonts w:hint="eastAsia" w:eastAsia="仿宋_GB2312"/>
          <w:color w:val="000000"/>
          <w:sz w:val="32"/>
          <w:szCs w:val="32"/>
          <w:u w:color="000000"/>
          <w:lang w:val="zh-TW"/>
        </w:rPr>
        <w:t>6.27</w:t>
      </w:r>
      <w:r>
        <w:rPr>
          <w:rFonts w:eastAsia="仿宋_GB2312"/>
          <w:sz w:val="32"/>
          <w:szCs w:val="32"/>
          <w:u w:color="000000"/>
          <w:lang w:val="zh-TW"/>
        </w:rPr>
        <w:t>吨；营业、办公活动所消耗的水</w:t>
      </w:r>
      <w:r>
        <w:rPr>
          <w:rFonts w:hint="eastAsia" w:eastAsia="仿宋_GB2312"/>
          <w:color w:val="000000"/>
          <w:sz w:val="32"/>
          <w:szCs w:val="32"/>
          <w:u w:color="000000"/>
        </w:rPr>
        <w:t>29297.31</w:t>
      </w:r>
      <w:r>
        <w:rPr>
          <w:rFonts w:eastAsia="仿宋_GB2312"/>
          <w:sz w:val="32"/>
          <w:szCs w:val="32"/>
          <w:u w:color="000000"/>
          <w:lang w:val="zh-TW"/>
        </w:rPr>
        <w:t>吨；营业、办公活动所消耗的电力</w:t>
      </w:r>
      <w:r>
        <w:rPr>
          <w:rFonts w:hint="eastAsia" w:eastAsia="仿宋_GB2312"/>
          <w:color w:val="000000"/>
          <w:sz w:val="32"/>
          <w:szCs w:val="32"/>
          <w:u w:color="000000"/>
          <w:lang w:val="zh-TW"/>
        </w:rPr>
        <w:t>5347295.45</w:t>
      </w:r>
      <w:r>
        <w:rPr>
          <w:rFonts w:eastAsia="仿宋_GB2312"/>
          <w:sz w:val="32"/>
          <w:szCs w:val="32"/>
          <w:u w:color="000000"/>
          <w:lang w:val="zh-TW"/>
        </w:rPr>
        <w:t>千瓦时。</w:t>
      </w:r>
    </w:p>
    <w:p>
      <w:pPr>
        <w:pStyle w:val="37"/>
        <w:ind w:firstLine="643"/>
        <w:rPr>
          <w:rFonts w:ascii="Times New Roman" w:hAnsi="Times New Roman"/>
        </w:rPr>
      </w:pPr>
      <w:bookmarkStart w:id="67" w:name="_Toc27263"/>
      <w:bookmarkStart w:id="68" w:name="_Toc42012327"/>
      <w:bookmarkStart w:id="69" w:name="_Toc70665251"/>
      <w:r>
        <w:rPr>
          <w:rFonts w:ascii="Times New Roman" w:hAnsi="Times New Roman"/>
        </w:rPr>
        <w:t>2.3规划与目标</w:t>
      </w:r>
      <w:bookmarkEnd w:id="67"/>
      <w:bookmarkEnd w:id="68"/>
      <w:bookmarkEnd w:id="69"/>
    </w:p>
    <w:p>
      <w:pPr>
        <w:spacing w:line="560" w:lineRule="exact"/>
        <w:ind w:firstLine="640" w:firstLineChars="200"/>
        <w:rPr>
          <w:rFonts w:eastAsia="楷体_GB2312"/>
          <w:sz w:val="32"/>
          <w:szCs w:val="32"/>
          <w:u w:color="000000"/>
          <w:lang w:val="zh-TW"/>
        </w:rPr>
      </w:pPr>
      <w:r>
        <w:rPr>
          <w:rFonts w:hint="eastAsia" w:eastAsia="仿宋_GB2312"/>
          <w:sz w:val="32"/>
          <w:szCs w:val="32"/>
          <w:u w:color="000000"/>
        </w:rPr>
        <w:t>本</w:t>
      </w:r>
      <w:r>
        <w:rPr>
          <w:rFonts w:hint="eastAsia" w:ascii="仿宋_GB2312" w:hAnsi="仿宋_GB2312" w:eastAsia="仿宋_GB2312" w:cs="仿宋_GB2312"/>
          <w:sz w:val="32"/>
          <w:szCs w:val="32"/>
        </w:rPr>
        <w:t>行</w:t>
      </w:r>
      <w:r>
        <w:rPr>
          <w:rFonts w:ascii="仿宋_GB2312" w:hAnsi="仿宋_GB2312" w:eastAsia="仿宋_GB2312" w:cs="仿宋_GB2312"/>
          <w:sz w:val="32"/>
          <w:szCs w:val="32"/>
          <w:lang w:val="zh-TW"/>
        </w:rPr>
        <w:t>围绕国家“双碳”目标，贯彻落实党中央、国务院和</w:t>
      </w:r>
      <w:r>
        <w:rPr>
          <w:rFonts w:hint="eastAsia" w:ascii="仿宋_GB2312" w:hAnsi="仿宋_GB2312" w:eastAsia="仿宋_GB2312" w:cs="仿宋_GB2312"/>
          <w:sz w:val="32"/>
          <w:szCs w:val="32"/>
          <w:lang w:val="zh-TW"/>
        </w:rPr>
        <w:t>相关管理部门</w:t>
      </w:r>
      <w:r>
        <w:rPr>
          <w:rFonts w:ascii="仿宋_GB2312" w:hAnsi="仿宋_GB2312" w:eastAsia="仿宋_GB2312" w:cs="仿宋_GB2312"/>
          <w:sz w:val="32"/>
          <w:szCs w:val="32"/>
          <w:lang w:val="zh-TW"/>
        </w:rPr>
        <w:t>关于生态文明建设和绿色低碳发展相关要求</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结合安吉县域绿色发展特色，</w:t>
      </w:r>
      <w:r>
        <w:rPr>
          <w:rFonts w:hint="eastAsia" w:ascii="仿宋_GB2312" w:hAnsi="仿宋_GB2312" w:eastAsia="仿宋_GB2312" w:cs="仿宋_GB2312"/>
          <w:sz w:val="32"/>
          <w:szCs w:val="32"/>
        </w:rPr>
        <w:t>融入</w:t>
      </w:r>
      <w:r>
        <w:rPr>
          <w:rFonts w:ascii="仿宋_GB2312" w:hAnsi="仿宋_GB2312" w:eastAsia="仿宋_GB2312" w:cs="仿宋_GB2312"/>
          <w:sz w:val="32"/>
          <w:szCs w:val="32"/>
          <w:lang w:val="zh-TW"/>
        </w:rPr>
        <w:t>《负责任银行原则》</w:t>
      </w:r>
      <w:r>
        <w:rPr>
          <w:rFonts w:hint="eastAsia" w:ascii="仿宋_GB2312" w:hAnsi="仿宋_GB2312" w:eastAsia="仿宋_GB2312" w:cs="仿宋_GB2312"/>
          <w:sz w:val="32"/>
          <w:szCs w:val="32"/>
        </w:rPr>
        <w:t>先进理念</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持续推进</w:t>
      </w:r>
      <w:r>
        <w:rPr>
          <w:rFonts w:ascii="仿宋_GB2312" w:hAnsi="仿宋_GB2312" w:eastAsia="仿宋_GB2312" w:cs="仿宋_GB2312"/>
          <w:sz w:val="32"/>
          <w:szCs w:val="32"/>
          <w:lang w:val="zh-TW"/>
        </w:rPr>
        <w:t>“碳中和”银行</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lang w:val="zh-TW"/>
        </w:rPr>
        <w:t>，</w:t>
      </w:r>
      <w:r>
        <w:rPr>
          <w:rFonts w:hint="eastAsia" w:ascii="仿宋_GB2312" w:hAnsi="仿宋_GB2312" w:eastAsia="仿宋_GB2312" w:cs="仿宋_GB2312"/>
          <w:sz w:val="32"/>
          <w:szCs w:val="32"/>
        </w:rPr>
        <w:t>奋力</w:t>
      </w:r>
      <w:r>
        <w:rPr>
          <w:rFonts w:ascii="仿宋_GB2312" w:hAnsi="仿宋_GB2312" w:eastAsia="仿宋_GB2312" w:cs="仿宋_GB2312"/>
          <w:sz w:val="32"/>
          <w:szCs w:val="32"/>
          <w:lang w:val="zh-TW"/>
        </w:rPr>
        <w:t>打造</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绿色普惠标杆银行</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在组织机制、管理体系、服务水平、能力建设、社会治理等方面不断做出有益探索，</w:t>
      </w:r>
      <w:r>
        <w:rPr>
          <w:rFonts w:hint="eastAsia" w:ascii="仿宋_GB2312" w:hAnsi="仿宋_GB2312" w:eastAsia="仿宋_GB2312" w:cs="仿宋_GB2312"/>
          <w:sz w:val="32"/>
          <w:szCs w:val="32"/>
        </w:rPr>
        <w:t>助力</w:t>
      </w:r>
      <w:r>
        <w:rPr>
          <w:rFonts w:ascii="仿宋_GB2312" w:hAnsi="仿宋_GB2312" w:eastAsia="仿宋_GB2312" w:cs="仿宋_GB2312"/>
          <w:sz w:val="32"/>
          <w:szCs w:val="32"/>
          <w:lang w:val="zh-TW"/>
        </w:rPr>
        <w:t>地方经济社会绿色</w:t>
      </w:r>
      <w:r>
        <w:rPr>
          <w:rFonts w:eastAsia="仿宋_GB2312"/>
          <w:sz w:val="32"/>
          <w:szCs w:val="32"/>
          <w:u w:color="000000"/>
        </w:rPr>
        <w:t>低碳发展</w:t>
      </w:r>
      <w:r>
        <w:rPr>
          <w:rFonts w:eastAsia="仿宋_GB2312"/>
          <w:sz w:val="32"/>
          <w:szCs w:val="32"/>
          <w:u w:color="000000"/>
          <w:lang w:val="zh-TW"/>
        </w:rPr>
        <w:t>。</w:t>
      </w:r>
    </w:p>
    <w:p>
      <w:pPr>
        <w:pStyle w:val="37"/>
        <w:ind w:firstLine="643"/>
        <w:rPr>
          <w:rFonts w:ascii="Times New Roman" w:hAnsi="Times New Roman"/>
          <w:lang w:eastAsia="zh-CN"/>
        </w:rPr>
      </w:pPr>
      <w:bookmarkStart w:id="70" w:name="_Toc42012328"/>
      <w:bookmarkStart w:id="71" w:name="_Toc14624"/>
      <w:r>
        <w:rPr>
          <w:rFonts w:ascii="Times New Roman" w:hAnsi="Times New Roman"/>
          <w:lang w:eastAsia="zh-CN"/>
        </w:rPr>
        <w:t>2.</w:t>
      </w:r>
      <w:r>
        <w:rPr>
          <w:rFonts w:ascii="Times New Roman" w:hAnsi="Times New Roman"/>
        </w:rPr>
        <w:t>3.1</w:t>
      </w:r>
      <w:bookmarkEnd w:id="70"/>
      <w:r>
        <w:rPr>
          <w:rFonts w:ascii="Times New Roman" w:hAnsi="Times New Roman"/>
          <w:lang w:eastAsia="zh-CN"/>
        </w:rPr>
        <w:t>经营目标</w:t>
      </w:r>
      <w:bookmarkEnd w:id="71"/>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按照上级部门要求、结合本行自身实际，以完善</w:t>
      </w:r>
      <w:r>
        <w:rPr>
          <w:rFonts w:eastAsia="仿宋_GB2312"/>
          <w:sz w:val="32"/>
          <w:szCs w:val="32"/>
          <w:u w:color="000000"/>
        </w:rPr>
        <w:t>组织</w:t>
      </w:r>
      <w:r>
        <w:rPr>
          <w:rFonts w:eastAsia="仿宋_GB2312"/>
          <w:sz w:val="32"/>
          <w:szCs w:val="32"/>
          <w:u w:color="000000"/>
          <w:lang w:val="zh-TW"/>
        </w:rPr>
        <w:t>机制</w:t>
      </w:r>
      <w:r>
        <w:rPr>
          <w:rFonts w:eastAsia="仿宋_GB2312"/>
          <w:sz w:val="32"/>
          <w:szCs w:val="32"/>
          <w:u w:color="000000"/>
        </w:rPr>
        <w:t>为</w:t>
      </w:r>
      <w:r>
        <w:rPr>
          <w:rFonts w:eastAsia="仿宋_GB2312"/>
          <w:sz w:val="32"/>
          <w:szCs w:val="32"/>
          <w:u w:color="000000"/>
          <w:lang w:val="zh-TW"/>
        </w:rPr>
        <w:t>保障，以跟踪对接县域重点绿色项目、绿色企业、绿色产业为抓手，以</w:t>
      </w:r>
      <w:r>
        <w:rPr>
          <w:rFonts w:eastAsia="仿宋_GB2312"/>
          <w:sz w:val="32"/>
          <w:szCs w:val="32"/>
          <w:u w:color="000000"/>
        </w:rPr>
        <w:t>加大绿色金融</w:t>
      </w:r>
      <w:r>
        <w:rPr>
          <w:rFonts w:eastAsia="仿宋_GB2312"/>
          <w:sz w:val="32"/>
          <w:szCs w:val="32"/>
          <w:u w:color="000000"/>
          <w:lang w:val="zh-TW"/>
        </w:rPr>
        <w:t>产品服务创新</w:t>
      </w:r>
      <w:r>
        <w:rPr>
          <w:rFonts w:eastAsia="仿宋_GB2312"/>
          <w:sz w:val="32"/>
          <w:szCs w:val="32"/>
          <w:u w:color="000000"/>
        </w:rPr>
        <w:t>力度</w:t>
      </w:r>
      <w:r>
        <w:rPr>
          <w:rFonts w:eastAsia="仿宋_GB2312"/>
          <w:sz w:val="32"/>
          <w:szCs w:val="32"/>
          <w:u w:color="000000"/>
          <w:lang w:val="zh-TW"/>
        </w:rPr>
        <w:t>为动力，多维度、多渠道满足县域绿色</w:t>
      </w:r>
      <w:r>
        <w:rPr>
          <w:rFonts w:hint="eastAsia" w:eastAsia="仿宋_GB2312"/>
          <w:sz w:val="32"/>
          <w:szCs w:val="32"/>
          <w:u w:color="000000"/>
        </w:rPr>
        <w:t>发展和低碳转型</w:t>
      </w:r>
      <w:r>
        <w:rPr>
          <w:rFonts w:eastAsia="仿宋_GB2312"/>
          <w:sz w:val="32"/>
          <w:szCs w:val="32"/>
          <w:u w:color="000000"/>
          <w:lang w:val="zh-TW"/>
        </w:rPr>
        <w:t>需求，确保绿色信贷增速高于全部贷款增速。</w:t>
      </w:r>
    </w:p>
    <w:p>
      <w:pPr>
        <w:pStyle w:val="37"/>
        <w:ind w:firstLine="643"/>
        <w:rPr>
          <w:rFonts w:ascii="Times New Roman" w:hAnsi="Times New Roman"/>
          <w:lang w:eastAsia="zh-CN"/>
        </w:rPr>
      </w:pPr>
      <w:bookmarkStart w:id="72" w:name="_Toc42012329"/>
      <w:bookmarkStart w:id="73" w:name="_Toc31106"/>
      <w:r>
        <w:rPr>
          <w:rFonts w:ascii="Times New Roman" w:hAnsi="Times New Roman"/>
          <w:lang w:eastAsia="zh-CN"/>
        </w:rPr>
        <w:t>2.</w:t>
      </w:r>
      <w:r>
        <w:rPr>
          <w:rFonts w:ascii="Times New Roman" w:hAnsi="Times New Roman"/>
        </w:rPr>
        <w:t>3.2</w:t>
      </w:r>
      <w:bookmarkEnd w:id="72"/>
      <w:r>
        <w:rPr>
          <w:rFonts w:ascii="Times New Roman" w:hAnsi="Times New Roman"/>
          <w:lang w:eastAsia="zh-CN"/>
        </w:rPr>
        <w:t>运营目标</w:t>
      </w:r>
      <w:bookmarkEnd w:id="73"/>
    </w:p>
    <w:p>
      <w:pPr>
        <w:spacing w:line="560" w:lineRule="exact"/>
        <w:ind w:firstLine="640" w:firstLineChars="200"/>
        <w:rPr>
          <w:rFonts w:eastAsia="仿宋_GB2312"/>
          <w:sz w:val="32"/>
          <w:szCs w:val="32"/>
          <w:u w:color="000000"/>
          <w:lang w:val="zh-TW"/>
        </w:rPr>
      </w:pPr>
      <w:r>
        <w:rPr>
          <w:rFonts w:eastAsia="仿宋_GB2312"/>
          <w:sz w:val="32"/>
          <w:szCs w:val="32"/>
          <w:u w:color="000000"/>
        </w:rPr>
        <w:t>增</w:t>
      </w:r>
      <w:r>
        <w:rPr>
          <w:rFonts w:ascii="仿宋_GB2312" w:hAnsi="仿宋_GB2312" w:eastAsia="仿宋_GB2312" w:cs="仿宋_GB2312"/>
          <w:sz w:val="32"/>
          <w:szCs w:val="32"/>
          <w:lang w:val="zh-TW"/>
        </w:rPr>
        <w:t>强全行干部员工绿色发展意识，倡导“绿色低碳”理念，以“节能降耗”为中心，在理念培植、文化建设、流程改造、日常考核等方面精准发力，完善自身碳排放管理，从“员工低碳办公常态化”等方面开展绿色运营碳足迹管理，全面推动绿色企业文化建设落地，实现高效率、低能耗的</w:t>
      </w:r>
      <w:r>
        <w:rPr>
          <w:rFonts w:eastAsia="仿宋_GB2312"/>
          <w:sz w:val="32"/>
          <w:szCs w:val="32"/>
        </w:rPr>
        <w:t>绿色运营</w:t>
      </w:r>
      <w:r>
        <w:rPr>
          <w:rFonts w:eastAsia="仿宋_GB2312"/>
          <w:sz w:val="32"/>
          <w:szCs w:val="32"/>
          <w:u w:color="000000"/>
          <w:lang w:val="zh-TW"/>
        </w:rPr>
        <w:t>。</w:t>
      </w:r>
    </w:p>
    <w:p>
      <w:pPr>
        <w:pStyle w:val="4"/>
        <w:ind w:firstLine="640"/>
        <w:rPr>
          <w:rFonts w:ascii="Times New Roman" w:hAnsi="Times New Roman"/>
          <w:color w:val="000000"/>
          <w:u w:color="000000"/>
          <w:lang w:val="en-US"/>
        </w:rPr>
      </w:pPr>
      <w:bookmarkStart w:id="74" w:name="_Toc7935"/>
      <w:bookmarkStart w:id="75" w:name="_Toc70665252"/>
      <w:bookmarkStart w:id="76" w:name="_Toc23339948"/>
      <w:bookmarkStart w:id="77" w:name="_Toc23339686"/>
      <w:r>
        <w:rPr>
          <w:rFonts w:ascii="Times New Roman" w:hAnsi="Times New Roman"/>
          <w:color w:val="000000"/>
          <w:u w:color="000000"/>
          <w:lang w:val="en-US"/>
        </w:rPr>
        <w:t>3环境相关治理结构</w:t>
      </w:r>
      <w:bookmarkEnd w:id="74"/>
      <w:bookmarkEnd w:id="75"/>
    </w:p>
    <w:p>
      <w:pPr>
        <w:pStyle w:val="37"/>
        <w:ind w:firstLine="643"/>
        <w:rPr>
          <w:rFonts w:ascii="Times New Roman" w:hAnsi="Times New Roman"/>
          <w:lang w:eastAsia="zh-CN"/>
        </w:rPr>
      </w:pPr>
      <w:bookmarkStart w:id="78" w:name="_Toc30796"/>
      <w:bookmarkStart w:id="79" w:name="_Toc70665253"/>
      <w:r>
        <w:rPr>
          <w:rFonts w:ascii="Times New Roman" w:hAnsi="Times New Roman"/>
        </w:rPr>
        <w:t>3.1董事会层面环境方面的职责设置</w:t>
      </w:r>
      <w:bookmarkEnd w:id="78"/>
      <w:bookmarkEnd w:id="79"/>
    </w:p>
    <w:p>
      <w:pPr>
        <w:spacing w:line="560" w:lineRule="exact"/>
        <w:ind w:firstLine="640" w:firstLineChars="200"/>
        <w:rPr>
          <w:rFonts w:eastAsia="仿宋_GB2312"/>
          <w:sz w:val="32"/>
          <w:szCs w:val="32"/>
        </w:rPr>
      </w:pPr>
      <w:r>
        <w:rPr>
          <w:rFonts w:eastAsia="仿宋_GB2312"/>
          <w:sz w:val="32"/>
          <w:szCs w:val="32"/>
          <w:u w:color="000000"/>
          <w:lang w:val="zh-TW"/>
        </w:rPr>
        <w:t>董事</w:t>
      </w:r>
      <w:r>
        <w:rPr>
          <w:rFonts w:ascii="仿宋_GB2312" w:hAnsi="仿宋_GB2312" w:eastAsia="仿宋_GB2312" w:cs="仿宋_GB2312"/>
          <w:sz w:val="32"/>
          <w:szCs w:val="32"/>
          <w:lang w:val="zh-TW"/>
        </w:rPr>
        <w:t>会下设战略（三农 绿色金融）委员会，作为绿色金融相关工作组织决策机构，研究全行绿色金融发展战略，着力发展以人为核心的全方位普惠金融，打造</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绿色普惠标杆银行</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，并将绿色普惠目标写入“十四五”规划。每年董事会讨论审议上年度绿色金融发展</w:t>
      </w:r>
      <w:r>
        <w:rPr>
          <w:rFonts w:eastAsia="仿宋_GB2312"/>
          <w:sz w:val="32"/>
          <w:szCs w:val="32"/>
          <w:u w:color="000000"/>
          <w:lang w:val="zh-TW"/>
        </w:rPr>
        <w:t>报告。</w:t>
      </w:r>
    </w:p>
    <w:p>
      <w:pPr>
        <w:pStyle w:val="37"/>
        <w:ind w:firstLine="643"/>
        <w:rPr>
          <w:rFonts w:ascii="Times New Roman" w:hAnsi="Times New Roman"/>
        </w:rPr>
      </w:pPr>
      <w:bookmarkStart w:id="80" w:name="_Toc22022"/>
      <w:bookmarkStart w:id="81" w:name="_Toc70665254"/>
      <w:r>
        <w:rPr>
          <w:rFonts w:ascii="Times New Roman" w:hAnsi="Times New Roman"/>
        </w:rPr>
        <w:t>3.2董事会层面以下环境方面的职责设置</w:t>
      </w:r>
      <w:bookmarkEnd w:id="80"/>
      <w:bookmarkEnd w:id="81"/>
    </w:p>
    <w:p>
      <w:pPr>
        <w:pStyle w:val="37"/>
        <w:ind w:firstLine="643"/>
        <w:rPr>
          <w:rFonts w:ascii="Times New Roman" w:hAnsi="Times New Roman"/>
          <w:lang w:eastAsia="zh-CN"/>
        </w:rPr>
      </w:pPr>
      <w:bookmarkStart w:id="82" w:name="_Toc27429"/>
      <w:r>
        <w:rPr>
          <w:rFonts w:ascii="Times New Roman" w:hAnsi="Times New Roman"/>
          <w:lang w:eastAsia="zh-CN"/>
        </w:rPr>
        <w:t>3.2.1成立绿色金融事业部</w:t>
      </w:r>
      <w:bookmarkEnd w:id="82"/>
    </w:p>
    <w:p>
      <w:pPr>
        <w:pStyle w:val="34"/>
        <w:spacing w:line="560" w:lineRule="exact"/>
        <w:ind w:left="0" w:firstLine="640" w:firstLineChars="200"/>
        <w:rPr>
          <w:rFonts w:ascii="Times New Roman" w:eastAsia="仿宋_GB2312"/>
          <w:kern w:val="2"/>
          <w:sz w:val="32"/>
          <w:szCs w:val="32"/>
          <w:u w:color="000000"/>
          <w:lang w:val="zh-TW"/>
        </w:rPr>
      </w:pPr>
      <w:r>
        <w:rPr>
          <w:rFonts w:ascii="Times New Roman" w:eastAsia="仿宋_GB2312"/>
          <w:kern w:val="2"/>
          <w:sz w:val="32"/>
          <w:szCs w:val="32"/>
          <w:u w:color="000000"/>
          <w:lang w:val="zh-TW"/>
        </w:rPr>
        <w:t>本行在高级管理层下设创新工作专业委员会，作为全行绿色金融产品及</w:t>
      </w:r>
      <w:r>
        <w:rPr>
          <w:rFonts w:ascii="仿宋_GB2312" w:hAnsi="仿宋_GB2312" w:eastAsia="仿宋_GB2312" w:cs="仿宋_GB2312"/>
          <w:kern w:val="2"/>
          <w:sz w:val="32"/>
          <w:szCs w:val="32"/>
          <w:lang w:val="zh-TW"/>
        </w:rPr>
        <w:t>服务创新的研发、推动和协调机构，同时成立全国首家小法人机构“绿色金融事业部”，作为绿色金融创新工作的组织实施部门，逐步搭建并不断完善绿色金融组织架构，形成发展绿色普惠金融组织保</w:t>
      </w:r>
      <w:r>
        <w:rPr>
          <w:rFonts w:ascii="Times New Roman" w:eastAsia="仿宋_GB2312"/>
          <w:kern w:val="2"/>
          <w:sz w:val="32"/>
          <w:szCs w:val="32"/>
          <w:u w:color="000000"/>
          <w:lang w:val="zh-TW"/>
        </w:rPr>
        <w:t>障。</w:t>
      </w:r>
    </w:p>
    <w:p>
      <w:pPr>
        <w:pStyle w:val="37"/>
        <w:ind w:firstLine="643"/>
        <w:rPr>
          <w:rFonts w:ascii="Times New Roman" w:hAnsi="Times New Roman"/>
          <w:lang w:eastAsia="zh-CN"/>
        </w:rPr>
      </w:pPr>
      <w:bookmarkStart w:id="83" w:name="_Toc8018"/>
      <w:r>
        <w:rPr>
          <w:rFonts w:ascii="Times New Roman" w:hAnsi="Times New Roman"/>
          <w:lang w:eastAsia="zh-CN"/>
        </w:rPr>
        <w:t>3.2.2创建绿色支行</w:t>
      </w:r>
      <w:bookmarkEnd w:id="83"/>
    </w:p>
    <w:p>
      <w:pPr>
        <w:pStyle w:val="37"/>
        <w:ind w:firstLine="640"/>
        <w:rPr>
          <w:rFonts w:ascii="Times New Roman" w:hAnsi="Times New Roman" w:eastAsia="仿宋_GB2312"/>
          <w:kern w:val="2"/>
        </w:rPr>
      </w:pPr>
      <w:bookmarkStart w:id="84" w:name="_Toc27869"/>
      <w:r>
        <w:rPr>
          <w:rFonts w:hint="eastAsia" w:ascii="Times New Roman" w:hAnsi="Times New Roman" w:eastAsia="仿宋_GB2312"/>
          <w:b w:val="0"/>
          <w:bCs/>
          <w:kern w:val="2"/>
          <w:lang w:val="en-US" w:eastAsia="zh-CN"/>
        </w:rPr>
        <w:t>本行</w:t>
      </w:r>
      <w:r>
        <w:rPr>
          <w:rFonts w:ascii="Times New Roman" w:hAnsi="Times New Roman" w:eastAsia="仿宋_GB2312"/>
          <w:b w:val="0"/>
          <w:bCs/>
          <w:kern w:val="2"/>
          <w:lang w:eastAsia="zh-CN"/>
        </w:rPr>
        <w:t>坚持按照</w:t>
      </w:r>
      <w:r>
        <w:rPr>
          <w:rFonts w:ascii="仿宋_GB2312" w:hAnsi="仿宋_GB2312" w:eastAsia="仿宋_GB2312" w:cs="仿宋_GB2312"/>
          <w:b w:val="0"/>
          <w:bCs/>
          <w:kern w:val="2"/>
          <w:lang w:eastAsia="zh-CN"/>
        </w:rPr>
        <w:t>“多样化、特色化、便利化”原则，结合属</w:t>
      </w:r>
      <w:r>
        <w:rPr>
          <w:rFonts w:ascii="Times New Roman" w:hAnsi="Times New Roman" w:eastAsia="仿宋_GB2312"/>
          <w:b w:val="0"/>
          <w:bCs/>
          <w:kern w:val="2"/>
          <w:lang w:eastAsia="zh-CN"/>
        </w:rPr>
        <w:t>地乡镇特色产业实施绿色支行创建工作，截</w:t>
      </w:r>
      <w:r>
        <w:rPr>
          <w:rFonts w:ascii="Times New Roman" w:hAnsi="Times New Roman" w:eastAsia="仿宋_GB2312"/>
          <w:b w:val="0"/>
          <w:bCs/>
          <w:color w:val="000000"/>
          <w:kern w:val="2"/>
          <w:lang w:eastAsia="zh-CN"/>
        </w:rPr>
        <w:t>至</w:t>
      </w:r>
      <w:r>
        <w:rPr>
          <w:rFonts w:hint="eastAsia" w:ascii="Times New Roman" w:hAnsi="Times New Roman" w:eastAsia="仿宋_GB2312"/>
          <w:b w:val="0"/>
          <w:bCs/>
          <w:color w:val="000000"/>
          <w:kern w:val="2"/>
          <w:lang w:val="en-US" w:eastAsia="zh-CN"/>
        </w:rPr>
        <w:t>2023年</w:t>
      </w:r>
      <w:r>
        <w:rPr>
          <w:rFonts w:ascii="Times New Roman" w:hAnsi="Times New Roman" w:eastAsia="仿宋_GB2312"/>
          <w:b w:val="0"/>
          <w:bCs/>
          <w:color w:val="000000"/>
          <w:kern w:val="2"/>
          <w:lang w:eastAsia="zh-CN"/>
        </w:rPr>
        <w:t>12</w:t>
      </w:r>
      <w:r>
        <w:rPr>
          <w:rFonts w:ascii="Times New Roman" w:hAnsi="Times New Roman" w:eastAsia="仿宋_GB2312"/>
          <w:b w:val="0"/>
          <w:bCs/>
          <w:kern w:val="2"/>
          <w:lang w:eastAsia="zh-CN"/>
        </w:rPr>
        <w:t>月末，已建成溪龙、余村、孝丰南门三家绿色支行。绿色信贷及人员配置详见附表</w:t>
      </w:r>
      <w:r>
        <w:rPr>
          <w:rFonts w:ascii="Times New Roman" w:hAnsi="Times New Roman" w:eastAsia="仿宋_GB2312"/>
          <w:b w:val="0"/>
          <w:bCs/>
          <w:color w:val="000000"/>
          <w:kern w:val="2"/>
          <w:lang w:eastAsia="zh-CN"/>
        </w:rPr>
        <w:t>1</w:t>
      </w:r>
      <w:r>
        <w:rPr>
          <w:rFonts w:ascii="Times New Roman" w:hAnsi="Times New Roman" w:eastAsia="仿宋_GB2312"/>
          <w:b w:val="0"/>
          <w:bCs/>
          <w:kern w:val="2"/>
          <w:lang w:eastAsia="zh-CN"/>
        </w:rPr>
        <w:t>。</w:t>
      </w:r>
      <w:bookmarkEnd w:id="84"/>
    </w:p>
    <w:p>
      <w:pPr>
        <w:pStyle w:val="34"/>
        <w:spacing w:line="560" w:lineRule="exact"/>
        <w:ind w:left="0" w:firstLine="640" w:firstLineChars="200"/>
        <w:jc w:val="both"/>
        <w:rPr>
          <w:rFonts w:ascii="Times New Roman" w:eastAsia="仿宋_GB2312"/>
          <w:kern w:val="2"/>
          <w:sz w:val="32"/>
          <w:szCs w:val="32"/>
        </w:rPr>
      </w:pPr>
      <w:r>
        <w:rPr>
          <w:rFonts w:ascii="Times New Roman" w:eastAsia="仿宋_GB2312"/>
          <w:kern w:val="2"/>
          <w:sz w:val="32"/>
          <w:szCs w:val="32"/>
          <w:u w:color="000000"/>
          <w:lang w:val="zh-TW" w:eastAsia="zh-TW"/>
        </w:rPr>
        <w:t>表1. 金融机构绿色支行情况表</w:t>
      </w:r>
      <w:r>
        <w:rPr>
          <w:rFonts w:ascii="Times New Roman" w:eastAsia="仿宋_GB2312"/>
          <w:b/>
          <w:bCs/>
          <w:sz w:val="28"/>
          <w:szCs w:val="28"/>
          <w:lang w:val="zh-TW"/>
        </w:rPr>
        <w:t xml:space="preserve">      </w:t>
      </w:r>
      <w:r>
        <w:rPr>
          <w:rFonts w:ascii="Times New Roman" w:eastAsia="仿宋_GB2312"/>
          <w:b/>
          <w:bCs/>
          <w:sz w:val="28"/>
          <w:szCs w:val="28"/>
        </w:rPr>
        <w:t xml:space="preserve">       </w:t>
      </w:r>
      <w:r>
        <w:rPr>
          <w:rFonts w:ascii="Times New Roman"/>
          <w:bCs/>
          <w:szCs w:val="20"/>
          <w:lang w:val="zh-TW"/>
        </w:rPr>
        <w:t>单位：万元、%、户</w:t>
      </w:r>
    </w:p>
    <w:tbl>
      <w:tblPr>
        <w:tblStyle w:val="18"/>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426"/>
        <w:gridCol w:w="1487"/>
        <w:gridCol w:w="1481"/>
        <w:gridCol w:w="156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68" w:type="dxa"/>
          </w:tcPr>
          <w:p>
            <w:pPr>
              <w:pStyle w:val="41"/>
              <w:jc w:val="left"/>
              <w:rPr>
                <w:rFonts w:ascii="Times New Roman" w:hAnsi="Times New Roman" w:eastAsia="宋体"/>
                <w:b/>
                <w:bCs/>
                <w:sz w:val="21"/>
                <w:szCs w:val="21"/>
              </w:rPr>
            </w:pPr>
            <w:r>
              <w:rPr>
                <w:rFonts w:ascii="Times New Roman" w:hAnsi="Times New Roman" w:eastAsia="宋体"/>
                <w:b/>
                <w:bCs/>
                <w:sz w:val="21"/>
                <w:szCs w:val="21"/>
              </w:rPr>
              <w:t>支行名称</w:t>
            </w:r>
          </w:p>
        </w:tc>
        <w:tc>
          <w:tcPr>
            <w:tcW w:w="1426" w:type="dxa"/>
          </w:tcPr>
          <w:p>
            <w:pPr>
              <w:pStyle w:val="41"/>
              <w:jc w:val="left"/>
              <w:rPr>
                <w:rFonts w:ascii="Times New Roman" w:hAnsi="Times New Roman" w:eastAsia="宋体"/>
                <w:b/>
                <w:bCs/>
                <w:sz w:val="21"/>
                <w:szCs w:val="21"/>
              </w:rPr>
            </w:pPr>
            <w:r>
              <w:rPr>
                <w:rFonts w:ascii="Times New Roman" w:hAnsi="Times New Roman" w:eastAsia="宋体"/>
                <w:b/>
                <w:bCs/>
                <w:sz w:val="21"/>
                <w:szCs w:val="21"/>
              </w:rPr>
              <w:t>批复时间</w:t>
            </w:r>
          </w:p>
        </w:tc>
        <w:tc>
          <w:tcPr>
            <w:tcW w:w="1487" w:type="dxa"/>
          </w:tcPr>
          <w:p>
            <w:pPr>
              <w:pStyle w:val="41"/>
              <w:jc w:val="left"/>
              <w:rPr>
                <w:rFonts w:ascii="Times New Roman" w:hAnsi="Times New Roman" w:eastAsia="宋体"/>
                <w:b/>
                <w:bCs/>
                <w:sz w:val="21"/>
                <w:szCs w:val="21"/>
              </w:rPr>
            </w:pPr>
            <w:r>
              <w:rPr>
                <w:rFonts w:ascii="Times New Roman" w:hAnsi="Times New Roman" w:eastAsia="宋体"/>
                <w:b/>
                <w:bCs/>
                <w:sz w:val="21"/>
                <w:szCs w:val="21"/>
              </w:rPr>
              <w:t>绿色信贷余额</w:t>
            </w:r>
          </w:p>
        </w:tc>
        <w:tc>
          <w:tcPr>
            <w:tcW w:w="1481" w:type="dxa"/>
          </w:tcPr>
          <w:p>
            <w:pPr>
              <w:pStyle w:val="41"/>
              <w:jc w:val="left"/>
              <w:rPr>
                <w:rFonts w:ascii="Times New Roman" w:hAnsi="Times New Roman" w:eastAsia="宋体"/>
                <w:b/>
                <w:bCs/>
                <w:sz w:val="21"/>
                <w:szCs w:val="21"/>
              </w:rPr>
            </w:pPr>
            <w:r>
              <w:rPr>
                <w:rFonts w:ascii="Times New Roman" w:hAnsi="Times New Roman" w:eastAsia="宋体"/>
                <w:b/>
                <w:bCs/>
                <w:sz w:val="21"/>
                <w:szCs w:val="21"/>
              </w:rPr>
              <w:t>绿色信贷占比</w:t>
            </w:r>
          </w:p>
        </w:tc>
        <w:tc>
          <w:tcPr>
            <w:tcW w:w="1560" w:type="dxa"/>
          </w:tcPr>
          <w:p>
            <w:pPr>
              <w:pStyle w:val="41"/>
              <w:jc w:val="left"/>
              <w:rPr>
                <w:rFonts w:ascii="Times New Roman" w:hAnsi="Times New Roman" w:eastAsia="宋体"/>
                <w:b/>
                <w:bCs/>
                <w:sz w:val="21"/>
                <w:szCs w:val="21"/>
              </w:rPr>
            </w:pPr>
            <w:r>
              <w:rPr>
                <w:rFonts w:ascii="Times New Roman" w:hAnsi="Times New Roman" w:eastAsia="宋体"/>
                <w:b/>
                <w:bCs/>
                <w:sz w:val="21"/>
                <w:szCs w:val="21"/>
              </w:rPr>
              <w:t>绿色信贷户数</w:t>
            </w:r>
          </w:p>
        </w:tc>
        <w:tc>
          <w:tcPr>
            <w:tcW w:w="1584" w:type="dxa"/>
          </w:tcPr>
          <w:p>
            <w:pPr>
              <w:pStyle w:val="41"/>
              <w:jc w:val="left"/>
              <w:rPr>
                <w:rFonts w:ascii="Times New Roman" w:hAnsi="Times New Roman" w:eastAsia="宋体"/>
                <w:b/>
                <w:bCs/>
                <w:sz w:val="21"/>
                <w:szCs w:val="21"/>
              </w:rPr>
            </w:pPr>
            <w:r>
              <w:rPr>
                <w:rFonts w:ascii="Times New Roman" w:hAnsi="Times New Roman" w:eastAsia="宋体"/>
                <w:b/>
                <w:bCs/>
                <w:sz w:val="21"/>
                <w:szCs w:val="21"/>
              </w:rPr>
              <w:t>专职员工数量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68" w:type="dxa"/>
            <w:vAlign w:val="center"/>
          </w:tcPr>
          <w:p>
            <w:pPr>
              <w:pStyle w:val="41"/>
              <w:jc w:val="left"/>
              <w:rPr>
                <w:rFonts w:ascii="Times New Roman" w:hAnsi="Times New Roman" w:eastAsia="宋体"/>
                <w:sz w:val="21"/>
                <w:szCs w:val="21"/>
              </w:rPr>
            </w:pPr>
            <w:r>
              <w:rPr>
                <w:rFonts w:ascii="Times New Roman" w:hAnsi="Times New Roman" w:eastAsia="宋体"/>
                <w:sz w:val="21"/>
                <w:szCs w:val="21"/>
              </w:rPr>
              <w:t>浙江安吉农村商业银行股份有限公司溪龙绿色支行</w:t>
            </w:r>
          </w:p>
        </w:tc>
        <w:tc>
          <w:tcPr>
            <w:tcW w:w="1426" w:type="dxa"/>
            <w:vAlign w:val="center"/>
          </w:tcPr>
          <w:p>
            <w:pPr>
              <w:pStyle w:val="41"/>
              <w:rPr>
                <w:rFonts w:ascii="Times New Roman" w:hAnsi="Times New Roman" w:eastAsia="宋体"/>
                <w:sz w:val="21"/>
                <w:szCs w:val="21"/>
                <w:lang w:eastAsia="zh-Hans"/>
              </w:rPr>
            </w:pPr>
            <w:r>
              <w:rPr>
                <w:rFonts w:ascii="Times New Roman" w:hAnsi="Times New Roman" w:eastAsia="宋体"/>
                <w:sz w:val="21"/>
                <w:szCs w:val="21"/>
              </w:rPr>
              <w:t>2019</w:t>
            </w:r>
            <w:r>
              <w:rPr>
                <w:rFonts w:ascii="Times New Roman" w:hAnsi="Times New Roman" w:eastAsia="宋体"/>
                <w:sz w:val="21"/>
                <w:szCs w:val="21"/>
                <w:lang w:eastAsia="zh-Hans"/>
              </w:rPr>
              <w:t>年</w:t>
            </w:r>
            <w:r>
              <w:rPr>
                <w:rFonts w:ascii="Times New Roman" w:hAnsi="Times New Roman" w:eastAsia="宋体"/>
                <w:sz w:val="21"/>
                <w:szCs w:val="21"/>
              </w:rPr>
              <w:t>3</w:t>
            </w:r>
            <w:r>
              <w:rPr>
                <w:rFonts w:ascii="Times New Roman" w:hAnsi="Times New Roman" w:eastAsia="宋体"/>
                <w:sz w:val="21"/>
                <w:szCs w:val="21"/>
                <w:lang w:eastAsia="zh-Hans"/>
              </w:rPr>
              <w:t>月</w:t>
            </w:r>
          </w:p>
        </w:tc>
        <w:tc>
          <w:tcPr>
            <w:tcW w:w="1487" w:type="dxa"/>
            <w:vAlign w:val="center"/>
          </w:tcPr>
          <w:p>
            <w:pPr>
              <w:pStyle w:val="41"/>
              <w:rPr>
                <w:rFonts w:ascii="Times New Roman" w:hAnsi="Times New Roman" w:eastAsia="宋体"/>
                <w:sz w:val="21"/>
                <w:szCs w:val="21"/>
              </w:rPr>
            </w:pPr>
            <w:r>
              <w:rPr>
                <w:rFonts w:ascii="Times New Roman" w:hAnsi="Times New Roman" w:eastAsia="宋体"/>
                <w:sz w:val="21"/>
                <w:szCs w:val="21"/>
              </w:rPr>
              <w:t>75574</w:t>
            </w:r>
          </w:p>
        </w:tc>
        <w:tc>
          <w:tcPr>
            <w:tcW w:w="1481" w:type="dxa"/>
            <w:vAlign w:val="center"/>
          </w:tcPr>
          <w:p>
            <w:pPr>
              <w:pStyle w:val="41"/>
              <w:rPr>
                <w:rFonts w:ascii="Times New Roman" w:hAnsi="Times New Roman" w:eastAsia="宋体"/>
                <w:sz w:val="21"/>
                <w:szCs w:val="21"/>
              </w:rPr>
            </w:pPr>
            <w:r>
              <w:rPr>
                <w:rFonts w:ascii="Times New Roman" w:hAnsi="Times New Roman" w:eastAsia="宋体"/>
                <w:sz w:val="21"/>
                <w:szCs w:val="21"/>
              </w:rPr>
              <w:t>91.88</w:t>
            </w:r>
          </w:p>
        </w:tc>
        <w:tc>
          <w:tcPr>
            <w:tcW w:w="1560" w:type="dxa"/>
            <w:vAlign w:val="center"/>
          </w:tcPr>
          <w:p>
            <w:pPr>
              <w:pStyle w:val="41"/>
              <w:rPr>
                <w:rFonts w:ascii="Times New Roman" w:hAnsi="Times New Roman" w:eastAsia="宋体"/>
                <w:sz w:val="21"/>
                <w:szCs w:val="21"/>
              </w:rPr>
            </w:pPr>
            <w:r>
              <w:rPr>
                <w:rFonts w:ascii="Times New Roman" w:hAnsi="Times New Roman" w:eastAsia="宋体"/>
                <w:sz w:val="21"/>
                <w:szCs w:val="21"/>
              </w:rPr>
              <w:t>1080</w:t>
            </w:r>
          </w:p>
        </w:tc>
        <w:tc>
          <w:tcPr>
            <w:tcW w:w="158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68" w:type="dxa"/>
            <w:vAlign w:val="center"/>
          </w:tcPr>
          <w:p>
            <w:pPr>
              <w:pStyle w:val="41"/>
              <w:jc w:val="left"/>
              <w:rPr>
                <w:rFonts w:ascii="Times New Roman" w:hAnsi="Times New Roman" w:eastAsia="宋体"/>
                <w:sz w:val="21"/>
                <w:szCs w:val="21"/>
              </w:rPr>
            </w:pPr>
            <w:r>
              <w:rPr>
                <w:rFonts w:ascii="Times New Roman" w:hAnsi="Times New Roman" w:eastAsia="宋体"/>
                <w:sz w:val="21"/>
                <w:szCs w:val="21"/>
              </w:rPr>
              <w:t>浙江安吉农村商业银行股份有限公司余村绿色支行</w:t>
            </w:r>
          </w:p>
        </w:tc>
        <w:tc>
          <w:tcPr>
            <w:tcW w:w="1426" w:type="dxa"/>
            <w:vAlign w:val="center"/>
          </w:tcPr>
          <w:p>
            <w:pPr>
              <w:pStyle w:val="41"/>
              <w:rPr>
                <w:rFonts w:ascii="Times New Roman" w:hAnsi="Times New Roman" w:eastAsia="宋体"/>
                <w:sz w:val="21"/>
                <w:szCs w:val="21"/>
                <w:lang w:eastAsia="zh-Hans"/>
              </w:rPr>
            </w:pPr>
            <w:r>
              <w:rPr>
                <w:rFonts w:ascii="Times New Roman" w:hAnsi="Times New Roman" w:eastAsia="宋体"/>
                <w:sz w:val="21"/>
                <w:szCs w:val="21"/>
              </w:rPr>
              <w:t>2021</w:t>
            </w:r>
            <w:r>
              <w:rPr>
                <w:rFonts w:ascii="Times New Roman" w:hAnsi="Times New Roman" w:eastAsia="宋体"/>
                <w:sz w:val="21"/>
                <w:szCs w:val="21"/>
                <w:lang w:eastAsia="zh-Hans"/>
              </w:rPr>
              <w:t>年5月</w:t>
            </w:r>
          </w:p>
        </w:tc>
        <w:tc>
          <w:tcPr>
            <w:tcW w:w="1487" w:type="dxa"/>
            <w:vAlign w:val="center"/>
          </w:tcPr>
          <w:p>
            <w:pPr>
              <w:pStyle w:val="41"/>
              <w:rPr>
                <w:rFonts w:ascii="Times New Roman" w:hAnsi="Times New Roman" w:eastAsia="宋体"/>
                <w:sz w:val="21"/>
                <w:szCs w:val="21"/>
              </w:rPr>
            </w:pPr>
            <w:r>
              <w:rPr>
                <w:rFonts w:ascii="Times New Roman" w:hAnsi="Times New Roman" w:eastAsia="宋体"/>
                <w:sz w:val="21"/>
                <w:szCs w:val="21"/>
              </w:rPr>
              <w:t>81680</w:t>
            </w:r>
          </w:p>
        </w:tc>
        <w:tc>
          <w:tcPr>
            <w:tcW w:w="1481" w:type="dxa"/>
            <w:vAlign w:val="center"/>
          </w:tcPr>
          <w:p>
            <w:pPr>
              <w:pStyle w:val="41"/>
              <w:rPr>
                <w:rFonts w:ascii="Times New Roman" w:hAnsi="Times New Roman" w:eastAsia="宋体"/>
                <w:sz w:val="21"/>
                <w:szCs w:val="21"/>
              </w:rPr>
            </w:pPr>
            <w:r>
              <w:rPr>
                <w:rFonts w:ascii="Times New Roman" w:hAnsi="Times New Roman" w:eastAsia="宋体"/>
                <w:sz w:val="21"/>
                <w:szCs w:val="21"/>
              </w:rPr>
              <w:t>70.92</w:t>
            </w:r>
          </w:p>
        </w:tc>
        <w:tc>
          <w:tcPr>
            <w:tcW w:w="1560" w:type="dxa"/>
            <w:vAlign w:val="center"/>
          </w:tcPr>
          <w:p>
            <w:pPr>
              <w:pStyle w:val="41"/>
              <w:rPr>
                <w:rFonts w:ascii="Times New Roman" w:hAnsi="Times New Roman" w:eastAsia="宋体"/>
                <w:sz w:val="21"/>
                <w:szCs w:val="21"/>
              </w:rPr>
            </w:pPr>
            <w:r>
              <w:rPr>
                <w:rFonts w:ascii="Times New Roman" w:hAnsi="Times New Roman" w:eastAsia="宋体"/>
                <w:sz w:val="21"/>
                <w:szCs w:val="21"/>
              </w:rPr>
              <w:t>901</w:t>
            </w:r>
          </w:p>
        </w:tc>
        <w:tc>
          <w:tcPr>
            <w:tcW w:w="1584" w:type="dxa"/>
            <w:vAlign w:val="center"/>
          </w:tcPr>
          <w:p>
            <w:pPr>
              <w:pStyle w:val="41"/>
              <w:rPr>
                <w:rFonts w:ascii="Times New Roman" w:hAnsi="Times New Roman" w:eastAsia="宋体"/>
                <w:sz w:val="21"/>
                <w:szCs w:val="21"/>
              </w:rPr>
            </w:pPr>
            <w:r>
              <w:rPr>
                <w:rFonts w:ascii="Times New Roman" w:hAnsi="Times New Roman"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68" w:type="dxa"/>
            <w:vAlign w:val="center"/>
          </w:tcPr>
          <w:p>
            <w:pPr>
              <w:pStyle w:val="41"/>
              <w:jc w:val="left"/>
              <w:rPr>
                <w:rFonts w:ascii="Times New Roman" w:hAnsi="Times New Roman" w:eastAsia="宋体"/>
                <w:sz w:val="21"/>
                <w:szCs w:val="21"/>
              </w:rPr>
            </w:pPr>
            <w:r>
              <w:rPr>
                <w:rFonts w:ascii="Times New Roman" w:hAnsi="Times New Roman" w:eastAsia="宋体"/>
                <w:sz w:val="21"/>
                <w:szCs w:val="21"/>
              </w:rPr>
              <w:t>浙江安吉农村商业银行股份有限公司</w:t>
            </w:r>
            <w:r>
              <w:rPr>
                <w:rFonts w:ascii="Times New Roman" w:hAnsi="Times New Roman" w:eastAsia="宋体"/>
                <w:sz w:val="21"/>
                <w:szCs w:val="21"/>
                <w:lang w:eastAsia="zh-Hans"/>
              </w:rPr>
              <w:t>孝丰南门</w:t>
            </w:r>
            <w:r>
              <w:rPr>
                <w:rFonts w:ascii="Times New Roman" w:hAnsi="Times New Roman" w:eastAsia="宋体"/>
                <w:sz w:val="21"/>
                <w:szCs w:val="21"/>
              </w:rPr>
              <w:t>绿色支行</w:t>
            </w:r>
          </w:p>
        </w:tc>
        <w:tc>
          <w:tcPr>
            <w:tcW w:w="1426" w:type="dxa"/>
            <w:vAlign w:val="center"/>
          </w:tcPr>
          <w:p>
            <w:pPr>
              <w:pStyle w:val="41"/>
              <w:rPr>
                <w:rFonts w:ascii="Times New Roman" w:hAnsi="Times New Roman" w:eastAsia="宋体"/>
                <w:sz w:val="21"/>
                <w:szCs w:val="21"/>
                <w:lang w:eastAsia="zh-Hans"/>
              </w:rPr>
            </w:pPr>
            <w:r>
              <w:rPr>
                <w:rFonts w:ascii="Times New Roman" w:hAnsi="Times New Roman" w:eastAsia="宋体"/>
                <w:sz w:val="21"/>
                <w:szCs w:val="21"/>
              </w:rPr>
              <w:t>2021</w:t>
            </w:r>
            <w:r>
              <w:rPr>
                <w:rFonts w:ascii="Times New Roman" w:hAnsi="Times New Roman" w:eastAsia="宋体"/>
                <w:sz w:val="21"/>
                <w:szCs w:val="21"/>
                <w:lang w:eastAsia="zh-Hans"/>
              </w:rPr>
              <w:t>年12月</w:t>
            </w:r>
          </w:p>
        </w:tc>
        <w:tc>
          <w:tcPr>
            <w:tcW w:w="1487" w:type="dxa"/>
            <w:vAlign w:val="center"/>
          </w:tcPr>
          <w:p>
            <w:pPr>
              <w:pStyle w:val="41"/>
              <w:rPr>
                <w:rFonts w:ascii="Times New Roman" w:hAnsi="Times New Roman" w:eastAsia="宋体"/>
                <w:sz w:val="21"/>
                <w:szCs w:val="21"/>
              </w:rPr>
            </w:pPr>
            <w:r>
              <w:rPr>
                <w:rFonts w:ascii="Times New Roman" w:hAnsi="Times New Roman" w:eastAsia="宋体"/>
                <w:sz w:val="21"/>
                <w:szCs w:val="21"/>
              </w:rPr>
              <w:t>36622</w:t>
            </w:r>
          </w:p>
        </w:tc>
        <w:tc>
          <w:tcPr>
            <w:tcW w:w="1481" w:type="dxa"/>
            <w:vAlign w:val="center"/>
          </w:tcPr>
          <w:p>
            <w:pPr>
              <w:pStyle w:val="41"/>
              <w:rPr>
                <w:rFonts w:ascii="Times New Roman" w:hAnsi="Times New Roman" w:eastAsia="宋体"/>
                <w:sz w:val="21"/>
                <w:szCs w:val="21"/>
              </w:rPr>
            </w:pPr>
            <w:r>
              <w:rPr>
                <w:rFonts w:ascii="Times New Roman" w:hAnsi="Times New Roman" w:eastAsia="宋体"/>
                <w:sz w:val="21"/>
                <w:szCs w:val="21"/>
              </w:rPr>
              <w:t>60.17</w:t>
            </w:r>
          </w:p>
        </w:tc>
        <w:tc>
          <w:tcPr>
            <w:tcW w:w="1560" w:type="dxa"/>
            <w:vAlign w:val="center"/>
          </w:tcPr>
          <w:p>
            <w:pPr>
              <w:pStyle w:val="41"/>
              <w:rPr>
                <w:rFonts w:ascii="Times New Roman" w:hAnsi="Times New Roman" w:eastAsia="宋体"/>
                <w:sz w:val="21"/>
                <w:szCs w:val="21"/>
              </w:rPr>
            </w:pPr>
            <w:r>
              <w:rPr>
                <w:rFonts w:ascii="Times New Roman" w:hAnsi="Times New Roman" w:eastAsia="宋体"/>
                <w:sz w:val="21"/>
                <w:szCs w:val="21"/>
              </w:rPr>
              <w:t>845</w:t>
            </w:r>
          </w:p>
        </w:tc>
        <w:tc>
          <w:tcPr>
            <w:tcW w:w="1584" w:type="dxa"/>
            <w:vAlign w:val="center"/>
          </w:tcPr>
          <w:p>
            <w:pPr>
              <w:pStyle w:val="41"/>
              <w:rPr>
                <w:rFonts w:ascii="Times New Roman" w:hAnsi="Times New Roman" w:eastAsia="宋体"/>
                <w:sz w:val="21"/>
                <w:szCs w:val="21"/>
              </w:rPr>
            </w:pPr>
            <w:r>
              <w:rPr>
                <w:rFonts w:ascii="Times New Roman" w:hAnsi="Times New Roman" w:eastAsia="宋体"/>
                <w:sz w:val="21"/>
                <w:szCs w:val="21"/>
              </w:rPr>
              <w:t>15</w:t>
            </w:r>
          </w:p>
        </w:tc>
      </w:tr>
    </w:tbl>
    <w:p>
      <w:pPr>
        <w:rPr>
          <w:lang w:val="zh-TW"/>
        </w:rPr>
      </w:pPr>
    </w:p>
    <w:bookmarkEnd w:id="76"/>
    <w:bookmarkEnd w:id="77"/>
    <w:p>
      <w:pPr>
        <w:pStyle w:val="4"/>
        <w:ind w:firstLine="640"/>
        <w:rPr>
          <w:rFonts w:ascii="Times New Roman" w:hAnsi="Times New Roman"/>
          <w:color w:val="000000"/>
          <w:u w:color="000000"/>
          <w:lang w:val="en-US"/>
        </w:rPr>
      </w:pPr>
      <w:bookmarkStart w:id="85" w:name="_Toc70665255"/>
      <w:bookmarkStart w:id="86" w:name="_Toc14321"/>
      <w:r>
        <w:rPr>
          <w:rFonts w:ascii="Times New Roman" w:hAnsi="Times New Roman"/>
          <w:color w:val="000000"/>
          <w:u w:color="000000"/>
          <w:lang w:val="en-US"/>
        </w:rPr>
        <w:t>4金融机构环境相关政策制度</w:t>
      </w:r>
      <w:bookmarkEnd w:id="85"/>
      <w:bookmarkEnd w:id="86"/>
    </w:p>
    <w:p>
      <w:pPr>
        <w:pStyle w:val="37"/>
        <w:ind w:firstLine="643"/>
        <w:rPr>
          <w:rFonts w:ascii="Times New Roman" w:hAnsi="Times New Roman"/>
          <w:lang w:val="en-US" w:eastAsia="zh-CN"/>
        </w:rPr>
      </w:pPr>
      <w:bookmarkStart w:id="87" w:name="_Toc9671"/>
      <w:bookmarkStart w:id="88" w:name="_Toc70665256"/>
      <w:r>
        <w:rPr>
          <w:rFonts w:ascii="Times New Roman" w:hAnsi="Times New Roman"/>
        </w:rPr>
        <w:t>4.1环境政策可能对金融机构产生的影响</w:t>
      </w:r>
      <w:bookmarkEnd w:id="87"/>
    </w:p>
    <w:p>
      <w:pPr>
        <w:pStyle w:val="24"/>
        <w:tabs>
          <w:tab w:val="left" w:pos="949"/>
        </w:tabs>
        <w:spacing w:line="560" w:lineRule="exact"/>
        <w:ind w:firstLine="640" w:firstLineChars="200"/>
        <w:rPr>
          <w:rFonts w:eastAsia="仿宋_GB2312" w:cs="Times New Roman"/>
          <w:color w:val="auto"/>
          <w:sz w:val="32"/>
          <w:szCs w:val="32"/>
        </w:rPr>
      </w:pPr>
      <w:r>
        <w:rPr>
          <w:rFonts w:eastAsia="仿宋_GB2312" w:cs="Times New Roman"/>
          <w:color w:val="auto"/>
          <w:sz w:val="32"/>
          <w:szCs w:val="32"/>
          <w:lang w:val="zh-TW"/>
        </w:rPr>
        <w:t>随着</w:t>
      </w:r>
      <w:r>
        <w:rPr>
          <w:rFonts w:ascii="仿宋_GB2312" w:hAnsi="仿宋_GB2312" w:eastAsia="仿宋_GB2312" w:cs="仿宋_GB2312"/>
          <w:color w:val="auto"/>
          <w:sz w:val="32"/>
          <w:szCs w:val="32"/>
          <w:lang w:val="zh-TW"/>
        </w:rPr>
        <w:t>国家“双碳”战略目标逐步落地，大力发展绿色金融，推动实现能源转型、促进低碳绿色产业发展将逐渐成为金融机构的主流经营模式，而环境政策的实施对金融机构或产生一定的影响：在风险管理方面，金融机构需要越来越多地考虑环境因素对企业经营的潜在风险；在投资组合方面，低碳经济、清洁能源等领域将成为金融机构热门的投资方向，金融机构需调整投资组合，加大对环境友好产业的支持和投资，以适应市场需求和政策导向；在产品创新方面，环境政策的实施推动金融机构创新绿色金融产品和服务，例如绿色债券、绿色贷款等，以</w:t>
      </w:r>
      <w:r>
        <w:rPr>
          <w:rFonts w:eastAsia="仿宋_GB2312" w:cs="Times New Roman"/>
          <w:color w:val="auto"/>
          <w:sz w:val="32"/>
          <w:szCs w:val="32"/>
        </w:rPr>
        <w:t>支持环保领域的项目和企业，同时满足环境、社会和经济的可持续发展需求；在合规方面，对金融机构提出了更高的合规要求，要加强对环境风险的监控和管理，加大环境信息披露力度，保证金融活动符合环境政策的</w:t>
      </w:r>
      <w:r>
        <w:rPr>
          <w:rFonts w:hint="eastAsia" w:eastAsia="仿宋_GB2312" w:cs="Times New Roman"/>
          <w:color w:val="auto"/>
          <w:sz w:val="32"/>
          <w:szCs w:val="32"/>
          <w:lang w:val="en-US" w:eastAsia="zh-CN"/>
        </w:rPr>
        <w:t>相关</w:t>
      </w:r>
      <w:r>
        <w:rPr>
          <w:rFonts w:eastAsia="仿宋_GB2312" w:cs="Times New Roman"/>
          <w:color w:val="auto"/>
          <w:sz w:val="32"/>
          <w:szCs w:val="32"/>
        </w:rPr>
        <w:t>要求。与</w:t>
      </w:r>
      <w:r>
        <w:rPr>
          <w:rFonts w:eastAsia="仿宋_GB2312" w:cs="Times New Roman"/>
          <w:color w:val="auto"/>
          <w:sz w:val="32"/>
          <w:szCs w:val="32"/>
          <w:lang w:val="zh-TW"/>
        </w:rPr>
        <w:t>金融机构</w:t>
      </w:r>
      <w:r>
        <w:rPr>
          <w:rFonts w:eastAsia="仿宋_GB2312" w:cs="Times New Roman"/>
          <w:color w:val="auto"/>
          <w:sz w:val="32"/>
          <w:szCs w:val="32"/>
        </w:rPr>
        <w:t>而言</w:t>
      </w:r>
      <w:r>
        <w:rPr>
          <w:rFonts w:eastAsia="仿宋_GB2312" w:cs="Times New Roman"/>
          <w:color w:val="auto"/>
          <w:sz w:val="32"/>
          <w:szCs w:val="32"/>
          <w:lang w:val="zh-TW"/>
        </w:rPr>
        <w:t>，</w:t>
      </w:r>
      <w:r>
        <w:rPr>
          <w:rFonts w:eastAsia="仿宋_GB2312" w:cs="Times New Roman"/>
          <w:color w:val="auto"/>
          <w:sz w:val="32"/>
          <w:szCs w:val="32"/>
        </w:rPr>
        <w:t>各类环境政策的提出和实施，既是挑战也是机遇，需要不断调整自身战略和业务模式，以适应环境政策的</w:t>
      </w:r>
      <w:r>
        <w:rPr>
          <w:rFonts w:hint="eastAsia" w:eastAsia="仿宋_GB2312" w:cs="Times New Roman"/>
          <w:color w:val="auto"/>
          <w:sz w:val="32"/>
          <w:szCs w:val="32"/>
          <w:lang w:val="en-US" w:eastAsia="zh-CN"/>
        </w:rPr>
        <w:t>变化</w:t>
      </w:r>
      <w:r>
        <w:rPr>
          <w:rFonts w:eastAsia="仿宋_GB2312" w:cs="Times New Roman"/>
          <w:color w:val="auto"/>
          <w:sz w:val="32"/>
          <w:szCs w:val="32"/>
        </w:rPr>
        <w:t>和</w:t>
      </w:r>
      <w:r>
        <w:rPr>
          <w:rFonts w:hint="eastAsia" w:eastAsia="仿宋_GB2312" w:cs="Times New Roman"/>
          <w:color w:val="auto"/>
          <w:sz w:val="32"/>
          <w:szCs w:val="32"/>
          <w:lang w:val="en-US" w:eastAsia="zh-CN"/>
        </w:rPr>
        <w:t>发展</w:t>
      </w:r>
      <w:r>
        <w:rPr>
          <w:rFonts w:eastAsia="仿宋_GB2312" w:cs="Times New Roman"/>
          <w:color w:val="auto"/>
          <w:sz w:val="32"/>
          <w:szCs w:val="32"/>
        </w:rPr>
        <w:t>。</w:t>
      </w:r>
    </w:p>
    <w:p>
      <w:pPr>
        <w:pStyle w:val="24"/>
        <w:tabs>
          <w:tab w:val="left" w:pos="949"/>
        </w:tabs>
        <w:spacing w:line="560" w:lineRule="exact"/>
        <w:ind w:firstLine="640" w:firstLineChars="200"/>
        <w:rPr>
          <w:rFonts w:eastAsia="仿宋_GB2312" w:cs="Times New Roman"/>
          <w:kern w:val="0"/>
          <w:sz w:val="32"/>
          <w:szCs w:val="32"/>
        </w:rPr>
      </w:pPr>
      <w:r>
        <w:rPr>
          <w:rFonts w:eastAsia="仿宋_GB2312" w:cs="Times New Roman"/>
          <w:color w:val="auto"/>
          <w:sz w:val="32"/>
          <w:szCs w:val="32"/>
          <w:lang w:val="zh-TW"/>
        </w:rPr>
        <w:t>基于</w:t>
      </w:r>
      <w:r>
        <w:rPr>
          <w:rFonts w:eastAsia="仿宋_GB2312" w:cs="Times New Roman"/>
          <w:color w:val="auto"/>
          <w:sz w:val="32"/>
          <w:szCs w:val="32"/>
        </w:rPr>
        <w:t>此，</w:t>
      </w:r>
      <w:r>
        <w:rPr>
          <w:rFonts w:eastAsia="仿宋_GB2312" w:cs="Times New Roman"/>
          <w:color w:val="auto"/>
          <w:sz w:val="32"/>
          <w:szCs w:val="32"/>
          <w:lang w:val="zh-TW"/>
        </w:rPr>
        <w:t>本行</w:t>
      </w:r>
      <w:r>
        <w:rPr>
          <w:rFonts w:eastAsia="仿宋_GB2312" w:cs="Times New Roman"/>
          <w:color w:val="auto"/>
          <w:sz w:val="32"/>
          <w:szCs w:val="32"/>
        </w:rPr>
        <w:t>紧紧</w:t>
      </w:r>
      <w:r>
        <w:rPr>
          <w:rFonts w:eastAsia="仿宋_GB2312" w:cs="Times New Roman"/>
          <w:color w:val="auto"/>
          <w:sz w:val="32"/>
          <w:szCs w:val="32"/>
          <w:lang w:val="zh-TW"/>
        </w:rPr>
        <w:t>围</w:t>
      </w:r>
      <w:r>
        <w:rPr>
          <w:rFonts w:ascii="仿宋_GB2312" w:hAnsi="仿宋_GB2312" w:eastAsia="仿宋_GB2312" w:cs="仿宋_GB2312"/>
          <w:color w:val="auto"/>
          <w:sz w:val="32"/>
          <w:szCs w:val="32"/>
          <w:lang w:val="zh-TW"/>
        </w:rPr>
        <w:t>绕中国人民银行第四部委</w:t>
      </w:r>
      <w:r>
        <w:rPr>
          <w:rFonts w:hint="eastAsia" w:ascii="仿宋_GB2312" w:hAnsi="仿宋_GB2312" w:eastAsia="仿宋_GB2312" w:cs="仿宋_GB2312"/>
          <w:color w:val="auto"/>
          <w:sz w:val="32"/>
          <w:szCs w:val="32"/>
          <w:lang w:val="en-US" w:eastAsia="zh-CN"/>
        </w:rPr>
        <w:t>发布的</w:t>
      </w:r>
      <w:r>
        <w:rPr>
          <w:rFonts w:ascii="仿宋_GB2312" w:hAnsi="仿宋_GB2312" w:eastAsia="仿宋_GB2312" w:cs="仿宋_GB2312"/>
          <w:color w:val="auto"/>
          <w:sz w:val="32"/>
          <w:szCs w:val="32"/>
          <w:lang w:val="zh-TW"/>
        </w:rPr>
        <w:t>《金融标准化“十四五”发展规划》、</w:t>
      </w:r>
      <w:r>
        <w:rPr>
          <w:rFonts w:hint="eastAsia" w:ascii="仿宋_GB2312" w:hAnsi="仿宋_GB2312" w:eastAsia="仿宋_GB2312" w:cs="仿宋_GB2312"/>
          <w:color w:val="auto"/>
          <w:sz w:val="32"/>
          <w:szCs w:val="32"/>
        </w:rPr>
        <w:t>原</w:t>
      </w:r>
      <w:r>
        <w:rPr>
          <w:rFonts w:ascii="仿宋_GB2312" w:hAnsi="仿宋_GB2312" w:eastAsia="仿宋_GB2312" w:cs="仿宋_GB2312"/>
          <w:color w:val="auto"/>
          <w:sz w:val="32"/>
          <w:szCs w:val="32"/>
          <w:lang w:val="zh-TW"/>
        </w:rPr>
        <w:t>中国</w:t>
      </w:r>
      <w:r>
        <w:rPr>
          <w:rFonts w:eastAsia="仿宋_GB2312" w:cs="Times New Roman"/>
          <w:color w:val="auto"/>
          <w:sz w:val="32"/>
          <w:szCs w:val="32"/>
        </w:rPr>
        <w:t>银保监会</w:t>
      </w:r>
      <w:r>
        <w:rPr>
          <w:rFonts w:hint="eastAsia" w:eastAsia="仿宋_GB2312" w:cs="Times New Roman"/>
          <w:color w:val="auto"/>
          <w:sz w:val="32"/>
          <w:szCs w:val="32"/>
          <w:lang w:val="en-US" w:eastAsia="zh-CN"/>
        </w:rPr>
        <w:t>发布的</w:t>
      </w:r>
      <w:r>
        <w:rPr>
          <w:rFonts w:eastAsia="仿宋_GB2312" w:cs="Times New Roman"/>
          <w:color w:val="auto"/>
          <w:sz w:val="32"/>
          <w:szCs w:val="32"/>
        </w:rPr>
        <w:t>《银行业保险业绿色金融指引》等文件精神，并结合自身实际情况制定</w:t>
      </w:r>
      <w:r>
        <w:rPr>
          <w:rFonts w:hint="eastAsia" w:eastAsia="仿宋_GB2312" w:cs="Times New Roman"/>
          <w:sz w:val="32"/>
          <w:szCs w:val="32"/>
          <w:lang w:val="zh-TW"/>
        </w:rPr>
        <w:t>2022-2026</w:t>
      </w:r>
      <w:r>
        <w:rPr>
          <w:rFonts w:eastAsia="仿宋_GB2312" w:cs="Times New Roman"/>
          <w:color w:val="auto"/>
          <w:sz w:val="32"/>
          <w:szCs w:val="32"/>
        </w:rPr>
        <w:t>年绿色普惠金融发展五年规划，持续优化完善绿色普惠组织机制，构建绿色普惠金融标准体系，探索发展碳金融、能效金融、转型金融、养老金融、支持生物多样性保护等新模式，加强国内国际绿色金融交流合作，创新绿色普惠产品服务，提升绿色普惠金融数字化水平，促进县域经济社会绿色低碳转型，提高金融助力绿色低碳治理能力，同时</w:t>
      </w:r>
      <w:r>
        <w:rPr>
          <w:rFonts w:eastAsia="仿宋_GB2312" w:cs="Times New Roman"/>
          <w:color w:val="auto"/>
          <w:sz w:val="32"/>
          <w:szCs w:val="32"/>
          <w:lang w:val="zh-TW"/>
        </w:rPr>
        <w:t>健全环境风险管理，形成与绿色金融发展相匹配所需的风险识别、评估、监测能力。</w:t>
      </w:r>
    </w:p>
    <w:p>
      <w:pPr>
        <w:pStyle w:val="37"/>
        <w:ind w:firstLine="643"/>
        <w:rPr>
          <w:rFonts w:ascii="Times New Roman" w:hAnsi="Times New Roman" w:eastAsia="仿宋_GB2312"/>
          <w:b w:val="0"/>
          <w:kern w:val="2"/>
          <w:sz w:val="30"/>
          <w:szCs w:val="30"/>
        </w:rPr>
      </w:pPr>
      <w:bookmarkStart w:id="89" w:name="_Toc28801"/>
      <w:r>
        <w:rPr>
          <w:rFonts w:ascii="Times New Roman" w:hAnsi="Times New Roman"/>
          <w:lang w:eastAsia="zh-CN"/>
        </w:rPr>
        <w:t>4.2</w:t>
      </w:r>
      <w:r>
        <w:rPr>
          <w:rFonts w:ascii="Times New Roman" w:hAnsi="Times New Roman"/>
        </w:rPr>
        <w:t>本机构与环境相关的现行政策</w:t>
      </w:r>
      <w:bookmarkEnd w:id="89"/>
    </w:p>
    <w:p>
      <w:pPr>
        <w:widowControl/>
        <w:spacing w:line="560" w:lineRule="exact"/>
        <w:ind w:firstLine="640" w:firstLineChars="200"/>
        <w:rPr>
          <w:rFonts w:eastAsia="仿宋_GB2312"/>
          <w:color w:val="000000"/>
          <w:sz w:val="32"/>
          <w:szCs w:val="32"/>
          <w:u w:color="000000"/>
          <w:lang w:val="zh-TW"/>
        </w:rPr>
      </w:pPr>
      <w:r>
        <w:rPr>
          <w:rFonts w:hint="eastAsia" w:eastAsia="仿宋_GB2312"/>
          <w:color w:val="000000"/>
          <w:sz w:val="32"/>
          <w:szCs w:val="32"/>
          <w:u w:color="000000"/>
          <w:lang w:val="zh-TW"/>
        </w:rPr>
        <w:t>截至2023年12月末，本行已制定34项与环境相关的制度，其中报告期内新增6项，具体如表2所示。</w:t>
      </w:r>
    </w:p>
    <w:p>
      <w:pPr>
        <w:pStyle w:val="24"/>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表2. 安吉农商银行环境政策制度情况表</w:t>
      </w:r>
    </w:p>
    <w:tbl>
      <w:tblPr>
        <w:tblStyle w:val="18"/>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164"/>
        <w:gridCol w:w="725"/>
        <w:gridCol w:w="3861"/>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24"/>
              <w:spacing w:line="320" w:lineRule="exact"/>
              <w:jc w:val="center"/>
              <w:rPr>
                <w:rFonts w:eastAsia="宋体" w:cs="Times New Roman"/>
                <w:b/>
                <w:color w:val="auto"/>
                <w:lang w:val="zh-TW"/>
              </w:rPr>
            </w:pPr>
            <w:r>
              <w:rPr>
                <w:rFonts w:eastAsia="宋体" w:cs="Times New Roman"/>
                <w:b/>
                <w:color w:val="auto"/>
                <w:lang w:val="zh-TW"/>
              </w:rPr>
              <w:t>文件名称</w:t>
            </w:r>
          </w:p>
        </w:tc>
        <w:tc>
          <w:tcPr>
            <w:tcW w:w="1164" w:type="dxa"/>
            <w:tcBorders>
              <w:top w:val="single" w:color="auto" w:sz="4" w:space="0"/>
              <w:left w:val="single" w:color="auto" w:sz="4" w:space="0"/>
              <w:bottom w:val="single" w:color="auto" w:sz="4" w:space="0"/>
              <w:right w:val="single" w:color="auto" w:sz="4" w:space="0"/>
            </w:tcBorders>
            <w:vAlign w:val="center"/>
          </w:tcPr>
          <w:p>
            <w:pPr>
              <w:pStyle w:val="24"/>
              <w:spacing w:line="320" w:lineRule="exact"/>
              <w:jc w:val="center"/>
              <w:rPr>
                <w:rFonts w:eastAsia="宋体" w:cs="Times New Roman"/>
                <w:b/>
                <w:color w:val="auto"/>
                <w:lang w:val="zh-TW"/>
              </w:rPr>
            </w:pPr>
            <w:r>
              <w:rPr>
                <w:rFonts w:eastAsia="宋体" w:cs="Times New Roman"/>
                <w:b/>
                <w:color w:val="auto"/>
                <w:lang w:val="zh-TW"/>
              </w:rPr>
              <w:t>发文文号</w:t>
            </w:r>
          </w:p>
        </w:tc>
        <w:tc>
          <w:tcPr>
            <w:tcW w:w="725" w:type="dxa"/>
            <w:tcBorders>
              <w:top w:val="single" w:color="auto" w:sz="4" w:space="0"/>
              <w:left w:val="single" w:color="auto" w:sz="4" w:space="0"/>
              <w:bottom w:val="single" w:color="auto" w:sz="4" w:space="0"/>
              <w:right w:val="single" w:color="auto" w:sz="4" w:space="0"/>
            </w:tcBorders>
            <w:vAlign w:val="center"/>
          </w:tcPr>
          <w:p>
            <w:pPr>
              <w:pStyle w:val="24"/>
              <w:spacing w:line="320" w:lineRule="exact"/>
              <w:jc w:val="center"/>
              <w:rPr>
                <w:rFonts w:eastAsia="宋体" w:cs="Times New Roman"/>
                <w:b/>
                <w:color w:val="auto"/>
                <w:lang w:val="zh-TW"/>
              </w:rPr>
            </w:pPr>
            <w:r>
              <w:rPr>
                <w:rFonts w:eastAsia="宋体" w:cs="Times New Roman"/>
                <w:b/>
                <w:color w:val="auto"/>
                <w:lang w:val="zh-TW"/>
              </w:rPr>
              <w:t>文件类型</w:t>
            </w:r>
          </w:p>
        </w:tc>
        <w:tc>
          <w:tcPr>
            <w:tcW w:w="3861" w:type="dxa"/>
            <w:tcBorders>
              <w:top w:val="single" w:color="auto" w:sz="4" w:space="0"/>
              <w:left w:val="single" w:color="auto" w:sz="4" w:space="0"/>
              <w:bottom w:val="single" w:color="auto" w:sz="4" w:space="0"/>
              <w:right w:val="single" w:color="auto" w:sz="4" w:space="0"/>
            </w:tcBorders>
            <w:vAlign w:val="center"/>
          </w:tcPr>
          <w:p>
            <w:pPr>
              <w:pStyle w:val="24"/>
              <w:spacing w:line="320" w:lineRule="exact"/>
              <w:jc w:val="center"/>
              <w:rPr>
                <w:rFonts w:eastAsia="宋体" w:cs="Times New Roman"/>
                <w:b/>
                <w:color w:val="auto"/>
                <w:lang w:val="zh-TW"/>
              </w:rPr>
            </w:pPr>
            <w:r>
              <w:rPr>
                <w:rFonts w:eastAsia="宋体" w:cs="Times New Roman"/>
                <w:b/>
                <w:color w:val="auto"/>
                <w:lang w:val="zh-TW"/>
              </w:rPr>
              <w:t>文件主要内容</w:t>
            </w:r>
          </w:p>
        </w:tc>
        <w:tc>
          <w:tcPr>
            <w:tcW w:w="602" w:type="dxa"/>
            <w:tcBorders>
              <w:top w:val="single" w:color="auto" w:sz="4" w:space="0"/>
              <w:left w:val="single" w:color="auto" w:sz="4" w:space="0"/>
              <w:bottom w:val="single" w:color="auto" w:sz="4" w:space="0"/>
              <w:right w:val="single" w:color="auto" w:sz="4" w:space="0"/>
            </w:tcBorders>
            <w:vAlign w:val="center"/>
          </w:tcPr>
          <w:p>
            <w:pPr>
              <w:pStyle w:val="24"/>
              <w:spacing w:line="320" w:lineRule="exact"/>
              <w:jc w:val="center"/>
              <w:rPr>
                <w:rFonts w:eastAsia="宋体" w:cs="Times New Roman"/>
                <w:b/>
                <w:color w:val="auto"/>
                <w:lang w:val="zh-TW"/>
              </w:rPr>
            </w:pPr>
            <w:r>
              <w:rPr>
                <w:rFonts w:eastAsia="宋体" w:cs="Times New Roman"/>
                <w:b/>
                <w:color w:val="auto"/>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《浙江安吉农村商业银行股份有限公司绿色信贷分类管理办法（试行）》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安农商银〔2017〕230号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依据授信客户对环境和社会表现的优劣，对企业授信客户进行“绿色友好类、蓝色基础类、橙色关注类、红色退出类”四色分类。对分类后的信贷客户从授信准入、贷款额度、利率执行等方面实行区别化管理。</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《浙江安吉农村商业银行股份有限公司绿色信贷全流程管理操作手册》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安农商银〔2018〕379号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以环境与社会风险管理为导向，建立绿色信贷全流程管理，从授信准入到用信考评全程贯穿对绿色企业评级以及绿色信贷的审核，实现绿色信贷的精准投放。</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《浙江安吉农村商业银行股份有限公司“绿色信用贷”贷款管理办法（试行）》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安农商银〔2019〕89号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通过采集辖内客户垃圾分类、绿色出行、绿色公益、绿色支付、自助业务办理等绿色行为习性，建立“个人绿色积分体系”，在此基础上推出“绿色信用贷”产品。以“浙里贷”平台为载体</w:t>
            </w:r>
            <w:r>
              <w:rPr>
                <w:rFonts w:hint="eastAsia" w:ascii="Times New Roman" w:hAnsi="Times New Roman" w:eastAsia="宋体"/>
                <w:sz w:val="21"/>
                <w:szCs w:val="21"/>
                <w:lang w:eastAsia="zh-CN"/>
              </w:rPr>
              <w:t>，</w:t>
            </w:r>
            <w:r>
              <w:rPr>
                <w:rFonts w:ascii="Times New Roman" w:hAnsi="Times New Roman" w:eastAsia="宋体"/>
                <w:sz w:val="21"/>
                <w:szCs w:val="21"/>
              </w:rPr>
              <w:t>通过批量授信为持有“个人绿色积分”的客户主动授信，鼓励贷款投向绿色消费，推动“生态、生产、生活”融合发展。</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《关于面向个人大额经营性贷款客户开展环境和社会风险评估的通知》</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安农商银办便函〔2019〕132号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将绿色普惠服务对象延伸至自然人客户，针对个人大额经营性贷款开展环境和社会风险评估，根据环境与社会风险实地调查的结果，结合行业投向和贷款用途对个人客户进行“绿色友好、蓝色基础、橙色关注、红色退出”四色分类，分层管理，区别服务。</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《关于在借款合同中约定环境与社会风险责任</w:t>
            </w:r>
          </w:p>
          <w:p>
            <w:pPr>
              <w:pStyle w:val="41"/>
              <w:rPr>
                <w:rFonts w:ascii="Times New Roman" w:hAnsi="Times New Roman" w:eastAsia="宋体"/>
                <w:sz w:val="21"/>
                <w:szCs w:val="21"/>
              </w:rPr>
            </w:pPr>
            <w:r>
              <w:rPr>
                <w:rFonts w:ascii="Times New Roman" w:hAnsi="Times New Roman" w:eastAsia="宋体"/>
                <w:sz w:val="21"/>
                <w:szCs w:val="21"/>
              </w:rPr>
              <w:t>条款事项的通知》</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安农商银办便函〔2019〕162号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操作要求</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针对企业客户及大额经营性个人客户，客户经理在与客户签订借款合同时与客户阐述环境与社会风险责任的重要性，并在借款合同中与客户约定相应条款事项。</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《浙江安吉农村商业银行股份有限公司授信审批权限规定》</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安农商银〔2019〕303号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规定支行授信审批权限，特别上调绿色专营支行、绿色贷款、绿色友好类企业授信报批权限，鼓励支行将信贷资源优先支持环境友好型客户，加大绿色信贷的投放力度，倡导本行信贷资产向绿色化转型。</w:t>
            </w:r>
          </w:p>
          <w:p>
            <w:pPr>
              <w:pStyle w:val="41"/>
              <w:jc w:val="left"/>
              <w:rPr>
                <w:rFonts w:ascii="Times New Roman" w:hAnsi="Times New Roman" w:eastAsia="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《浙江安吉农村商业银行股份有限公司绿色运营管理办法》</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安农商银〔2019〕501号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从“绿色办公”“低碳出行”“节约资源”“绿色公益”等方面加强绿色文化建设，增强“绿色、低碳、节能”意识，引导员工树立开展绿色生活，创造绿色办公环境。</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《浙江安吉农村商业银行股份有限公司绿色办公实施方案》</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安农商银办〔2020〕25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从“节约用电”“节约用水”“节约用纸”“节能降耗”“绿色出行”“垃圾分类”等方面开展绿色办公，引导员工树立绿色低碳办公意识。</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商业银行股份有限公司垃圾分类工作实施方案》</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安农商银办〔2020〕50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从“垃圾分类管理职责”“垃圾分类设施配置”“垃圾分类投放要求”等方面开展垃圾分类工作，实现本行生活垃圾减量化。</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《浙江安吉农村商业银行股份有限公司制止餐饮浪费行为培养节约习惯实施方案》</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安农商银办〔2020〕67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操作要求</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从“理念培育”“开展主题教育”“加强食堂管理”等方面加强员工珍惜粮食、杜绝浪费的意识，培养勤俭节约的习惯。</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商业银行股份有限公司农村住房绿色建筑贷款管理办法（试行）》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安农商银〔2020〕164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结合国家《绿色建筑评价标准》，明确规定“农村住房绿色建筑”的认定标准，从环境风险因素出发，分档次清晰界定了一、二、三星级绿色农房建筑，根据不同星级标准实行差异化利率定价。</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《浙江安吉农村商业银行股份有限公司“绿色家装贷”贷款管理办法(试行)》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安农商银〔2020〕294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以降低装修能源消耗量为导向，制定“绿色家装贷”具体操作细则。</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《安吉农商银行绿色金融支持绿色制造业发展指导意见》</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安农商银〔2020〕414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jc w:val="left"/>
              <w:rPr>
                <w:rFonts w:ascii="Times New Roman" w:hAnsi="Times New Roman" w:eastAsia="宋体"/>
                <w:sz w:val="21"/>
                <w:szCs w:val="21"/>
              </w:rPr>
            </w:pPr>
            <w:r>
              <w:rPr>
                <w:rFonts w:ascii="Times New Roman" w:hAnsi="Times New Roman" w:eastAsia="宋体"/>
                <w:sz w:val="21"/>
                <w:szCs w:val="21"/>
              </w:rPr>
              <w:t>从“单列信贷规模”“创新融资产品”“落实差异化信贷政策”“实施绿色企业网格化管理”“畅通绿色企业转贷机制”“探索绿色信贷风险共担机制”等方面，支持县域绿色制造业绿色发展。</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《安吉农商银行“碳中和”银行试点项目建设方案》</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安农商银办〔2021〕11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采用先试点再推广的创建思路，在辖内天荒坪支行(现更名为余村绿色支行)试点探索“碳中和”银行示范点建设，通过内外联动的方式合力打造全国首个“碳中和”银行样板。</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商业银行股份有限公司2021 年度绿色金融业务专项考核办法》</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lang w:eastAsia="zh-TW"/>
              </w:rPr>
            </w:pPr>
            <w:r>
              <w:rPr>
                <w:rFonts w:ascii="Times New Roman" w:hAnsi="Times New Roman" w:eastAsia="宋体"/>
                <w:sz w:val="21"/>
                <w:szCs w:val="21"/>
              </w:rPr>
              <w:t>安农商银办〔2021〕30号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从“绿色信贷增量、扩户”“绿色金融综合服务平台推进”“绿色金融特色产品推进”“机构绿色低碳运营” 等方面入手，制定考核办法，推进绿色金融高质量发展。</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商业银行股份有限公司“碳中和”银行绿色办公考核办法》</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安农商银〔2021〕</w:t>
            </w:r>
          </w:p>
          <w:p>
            <w:pPr>
              <w:pStyle w:val="41"/>
              <w:rPr>
                <w:rFonts w:ascii="Times New Roman" w:hAnsi="Times New Roman" w:eastAsia="宋体"/>
                <w:sz w:val="21"/>
                <w:szCs w:val="21"/>
              </w:rPr>
            </w:pPr>
            <w:r>
              <w:rPr>
                <w:rFonts w:ascii="Times New Roman" w:hAnsi="Times New Roman" w:eastAsia="宋体"/>
                <w:sz w:val="21"/>
                <w:szCs w:val="21"/>
              </w:rPr>
              <w:t>39号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从用电、用水、用纸、办公耗材四个维度对支行按月考核。</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rPr>
                <w:rFonts w:ascii="Times New Roman" w:hAnsi="Times New Roman" w:eastAsia="宋体"/>
                <w:sz w:val="21"/>
                <w:szCs w:val="21"/>
              </w:rPr>
            </w:pPr>
            <w:r>
              <w:rPr>
                <w:rFonts w:ascii="Times New Roman" w:hAnsi="Times New Roman" w:eastAsia="宋体"/>
                <w:sz w:val="21"/>
                <w:szCs w:val="21"/>
              </w:rPr>
              <w:t>商业银行股份有限公司“碳中和”助力贷贷款管理办法（试行）》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lang w:eastAsia="zh-TW"/>
              </w:rPr>
            </w:pPr>
            <w:r>
              <w:rPr>
                <w:rFonts w:ascii="Times New Roman" w:hAnsi="Times New Roman" w:eastAsia="宋体"/>
                <w:sz w:val="21"/>
                <w:szCs w:val="21"/>
              </w:rPr>
              <w:t>安农商银办〔2021〕143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 xml:space="preserve">为支持县域中小微企业减排项目、清洁生产、低碳改造等,创新推出“碳中和”助力贷产品，并制定具体操作细则。 </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商业银行股份有限公司“碳中和”银行建设规划》</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安农商银〔2021〕</w:t>
            </w:r>
          </w:p>
          <w:p>
            <w:pPr>
              <w:pStyle w:val="41"/>
              <w:rPr>
                <w:rFonts w:ascii="Times New Roman" w:hAnsi="Times New Roman" w:eastAsia="宋体"/>
                <w:sz w:val="21"/>
                <w:szCs w:val="21"/>
              </w:rPr>
            </w:pPr>
            <w:r>
              <w:rPr>
                <w:rFonts w:ascii="Times New Roman" w:hAnsi="Times New Roman" w:eastAsia="宋体"/>
                <w:sz w:val="21"/>
                <w:szCs w:val="21"/>
              </w:rPr>
              <w:t>158号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根据“碳中和”银行建设的总体要求，从愿景目标、实施路径、能力建设等方面，制定本行“碳中和”银行建设路径图。</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商业银行股份有限公司“碳中和”银行建设实施方案》</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安农商银〔2021〕</w:t>
            </w:r>
          </w:p>
          <w:p>
            <w:pPr>
              <w:pStyle w:val="41"/>
              <w:rPr>
                <w:rFonts w:ascii="Times New Roman" w:hAnsi="Times New Roman" w:eastAsia="宋体"/>
                <w:sz w:val="21"/>
                <w:szCs w:val="21"/>
              </w:rPr>
            </w:pPr>
            <w:r>
              <w:rPr>
                <w:rFonts w:ascii="Times New Roman" w:hAnsi="Times New Roman" w:eastAsia="宋体"/>
                <w:sz w:val="21"/>
                <w:szCs w:val="21"/>
              </w:rPr>
              <w:t>159号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立足本行机构现状，从“碳中和”方法学出发，制定“碳中和”具体的目标规划、建设路径。</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商业银行股份有限公司“绿色信用户”“绿色信用村”“绿色信用乡”创建试点实施方案》</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安农商银〔2021〕</w:t>
            </w:r>
          </w:p>
          <w:p>
            <w:pPr>
              <w:pStyle w:val="41"/>
              <w:rPr>
                <w:rFonts w:ascii="Times New Roman" w:hAnsi="Times New Roman" w:eastAsia="宋体"/>
                <w:sz w:val="21"/>
                <w:szCs w:val="21"/>
              </w:rPr>
            </w:pPr>
            <w:r>
              <w:rPr>
                <w:rFonts w:ascii="Times New Roman" w:hAnsi="Times New Roman" w:eastAsia="宋体"/>
                <w:sz w:val="21"/>
                <w:szCs w:val="21"/>
              </w:rPr>
              <w:t>170号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操作细则</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 xml:space="preserve"> “绿色信用户”“绿色信用村（社区）”“绿色信用乡镇（街道）”的具体创建标准及评定流程。</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商业银行股份有限公司“竹林碳汇贷”贷款管理办法(试行)》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安农商银〔2021〕</w:t>
            </w:r>
          </w:p>
          <w:p>
            <w:pPr>
              <w:pStyle w:val="41"/>
              <w:rPr>
                <w:rFonts w:ascii="Times New Roman" w:hAnsi="Times New Roman" w:eastAsia="宋体"/>
                <w:sz w:val="21"/>
                <w:szCs w:val="21"/>
              </w:rPr>
            </w:pPr>
            <w:r>
              <w:rPr>
                <w:rFonts w:ascii="Times New Roman" w:hAnsi="Times New Roman" w:eastAsia="宋体"/>
                <w:sz w:val="21"/>
                <w:szCs w:val="21"/>
              </w:rPr>
              <w:t>272号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为更好地促进生态资产价值转化，面向县域企业、个体户或个人客户推出由</w:t>
            </w:r>
            <w:r>
              <w:rPr>
                <w:rFonts w:hint="eastAsia" w:ascii="Times New Roman" w:hAnsi="Times New Roman" w:eastAsia="宋体"/>
                <w:sz w:val="21"/>
                <w:szCs w:val="21"/>
                <w:lang w:eastAsia="zh-CN"/>
              </w:rPr>
              <w:t>“</w:t>
            </w:r>
            <w:r>
              <w:rPr>
                <w:rFonts w:ascii="Times New Roman" w:hAnsi="Times New Roman" w:eastAsia="宋体"/>
                <w:sz w:val="21"/>
                <w:szCs w:val="21"/>
              </w:rPr>
              <w:t>竹林碳汇</w:t>
            </w:r>
            <w:r>
              <w:rPr>
                <w:rFonts w:hint="eastAsia" w:ascii="Times New Roman" w:hAnsi="Times New Roman" w:eastAsia="宋体"/>
                <w:sz w:val="21"/>
                <w:szCs w:val="21"/>
                <w:lang w:eastAsia="zh-CN"/>
              </w:rPr>
              <w:t>”</w:t>
            </w:r>
            <w:r>
              <w:rPr>
                <w:rFonts w:ascii="Times New Roman" w:hAnsi="Times New Roman" w:eastAsia="宋体"/>
                <w:sz w:val="21"/>
                <w:szCs w:val="21"/>
              </w:rPr>
              <w:t>作为质押物的贷款产品，并制定具体操作细则。</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《浙江安吉农村</w:t>
            </w:r>
          </w:p>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商业银行股份有限公司“碳效贷”贷款管理办法（试行）》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安农商银〔2021〕</w:t>
            </w:r>
          </w:p>
          <w:p>
            <w:pPr>
              <w:pStyle w:val="41"/>
              <w:rPr>
                <w:rFonts w:ascii="Times New Roman" w:hAnsi="Times New Roman" w:eastAsia="宋体"/>
                <w:sz w:val="21"/>
                <w:szCs w:val="21"/>
              </w:rPr>
            </w:pPr>
            <w:r>
              <w:rPr>
                <w:rFonts w:ascii="Times New Roman" w:hAnsi="Times New Roman" w:eastAsia="宋体"/>
                <w:sz w:val="21"/>
                <w:szCs w:val="21"/>
              </w:rPr>
              <w:t>390号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autoSpaceDE w:val="0"/>
              <w:autoSpaceDN w:val="0"/>
              <w:adjustRightInd w:val="0"/>
              <w:jc w:val="left"/>
              <w:rPr>
                <w:rFonts w:ascii="Times New Roman" w:hAnsi="Times New Roman" w:eastAsia="宋体"/>
                <w:sz w:val="21"/>
                <w:szCs w:val="21"/>
              </w:rPr>
            </w:pPr>
            <w:r>
              <w:rPr>
                <w:rFonts w:ascii="Times New Roman" w:hAnsi="Times New Roman" w:eastAsia="宋体"/>
                <w:sz w:val="21"/>
                <w:szCs w:val="21"/>
              </w:rPr>
              <w:t>为支持县域中小微企业节能降耗、低碳生产工艺改进、车间厂房绿色化改造等,针对已纳入工业碳效对标管理的企业，创新推出“碳效贷”助力贷产品，并制定具体操作细则。</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《浙江安吉农村</w:t>
            </w:r>
          </w:p>
          <w:p>
            <w:pPr>
              <w:pStyle w:val="41"/>
              <w:rPr>
                <w:rFonts w:ascii="Times New Roman" w:hAnsi="Times New Roman" w:eastAsia="宋体"/>
                <w:sz w:val="21"/>
                <w:szCs w:val="21"/>
              </w:rPr>
            </w:pPr>
            <w:r>
              <w:rPr>
                <w:rFonts w:ascii="Times New Roman" w:hAnsi="Times New Roman" w:eastAsia="宋体"/>
                <w:sz w:val="21"/>
                <w:szCs w:val="21"/>
              </w:rPr>
              <w:t>商业银行股份有限公司“碳汇收储贷”贷款管理办法（试行）》</w:t>
            </w:r>
          </w:p>
        </w:tc>
        <w:tc>
          <w:tcPr>
            <w:tcW w:w="1164"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lang w:val="en-US"/>
              </w:rPr>
            </w:pPr>
            <w:r>
              <w:rPr>
                <w:rFonts w:ascii="Times New Roman" w:hAnsi="Times New Roman" w:eastAsia="宋体"/>
                <w:sz w:val="21"/>
                <w:szCs w:val="21"/>
              </w:rPr>
              <w:t>安农商银〔2022〕39 号</w:t>
            </w:r>
          </w:p>
        </w:tc>
        <w:tc>
          <w:tcPr>
            <w:tcW w:w="725"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rPr>
              <w:t>针对县域国有资本控股企业，推出专项用于储备林业碳汇资源的贷款产品，并制定具体的操作细则。</w:t>
            </w:r>
          </w:p>
        </w:tc>
        <w:tc>
          <w:tcPr>
            <w:tcW w:w="602" w:type="dxa"/>
            <w:tcBorders>
              <w:top w:val="single" w:color="auto" w:sz="4" w:space="0"/>
              <w:left w:val="single" w:color="auto" w:sz="4" w:space="0"/>
              <w:bottom w:val="single" w:color="auto" w:sz="4" w:space="0"/>
              <w:right w:val="single" w:color="auto" w:sz="4" w:space="0"/>
            </w:tcBorders>
            <w:vAlign w:val="center"/>
          </w:tcPr>
          <w:p>
            <w:pPr>
              <w:pStyle w:val="41"/>
              <w:rPr>
                <w:rFonts w:ascii="Times New Roman" w:hAnsi="Times New Roman" w:eastAsia="宋体"/>
                <w:sz w:val="21"/>
                <w:szCs w:val="21"/>
              </w:rPr>
            </w:pPr>
            <w:r>
              <w:rPr>
                <w:rFonts w:ascii="Times New Roman" w:hAnsi="Times New Roman" w:eastAsia="宋体"/>
                <w:sz w:val="21"/>
                <w:szCs w:val="21"/>
                <w:lang w:val="en-US"/>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《浙江安吉农村</w:t>
            </w:r>
          </w:p>
          <w:p>
            <w:pPr>
              <w:pStyle w:val="41"/>
              <w:rPr>
                <w:rFonts w:ascii="Times New Roman" w:hAnsi="Times New Roman" w:eastAsia="宋体"/>
                <w:sz w:val="21"/>
                <w:szCs w:val="21"/>
              </w:rPr>
            </w:pPr>
            <w:r>
              <w:rPr>
                <w:rFonts w:ascii="Times New Roman" w:hAnsi="Times New Roman" w:eastAsia="宋体"/>
                <w:sz w:val="21"/>
                <w:szCs w:val="21"/>
              </w:rPr>
              <w:t>商业银行股份有限公司“碳汇惠企贷”贷款管理办法（试行）》</w:t>
            </w:r>
          </w:p>
        </w:tc>
        <w:tc>
          <w:tcPr>
            <w:tcW w:w="1164"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rPr>
              <w:t>安农商银〔2022〕40 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vAlign w:val="center"/>
          </w:tcPr>
          <w:p>
            <w:pPr>
              <w:pStyle w:val="41"/>
              <w:rPr>
                <w:rFonts w:ascii="Times New Roman" w:hAnsi="Times New Roman" w:eastAsia="宋体"/>
                <w:sz w:val="21"/>
                <w:szCs w:val="21"/>
              </w:rPr>
            </w:pPr>
            <w:r>
              <w:rPr>
                <w:rFonts w:ascii="Times New Roman" w:hAnsi="Times New Roman" w:eastAsia="宋体"/>
                <w:sz w:val="21"/>
                <w:szCs w:val="21"/>
              </w:rPr>
              <w:t>针对县域符合条件的企(事)业法人、农</w:t>
            </w:r>
          </w:p>
          <w:p>
            <w:pPr>
              <w:pStyle w:val="41"/>
              <w:rPr>
                <w:rFonts w:ascii="Times New Roman" w:hAnsi="Times New Roman" w:eastAsia="宋体"/>
                <w:sz w:val="21"/>
                <w:szCs w:val="21"/>
              </w:rPr>
            </w:pPr>
            <w:r>
              <w:rPr>
                <w:rFonts w:ascii="Times New Roman" w:hAnsi="Times New Roman" w:eastAsia="宋体"/>
                <w:sz w:val="21"/>
                <w:szCs w:val="21"/>
              </w:rPr>
              <w:t>民专业合作社或其他经济组织，推出专项用于购买林业碳汇的贷款产品，并制定具体的操作细则。</w:t>
            </w:r>
          </w:p>
        </w:tc>
        <w:tc>
          <w:tcPr>
            <w:tcW w:w="602" w:type="dxa"/>
            <w:vAlign w:val="center"/>
          </w:tcPr>
          <w:p>
            <w:pPr>
              <w:pStyle w:val="41"/>
              <w:rPr>
                <w:rFonts w:ascii="Times New Roman" w:hAnsi="Times New Roman" w:eastAsia="宋体"/>
                <w:sz w:val="21"/>
                <w:szCs w:val="21"/>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Pr>
          <w:p>
            <w:pPr>
              <w:pStyle w:val="41"/>
              <w:rPr>
                <w:rFonts w:ascii="Times New Roman" w:hAnsi="Times New Roman" w:eastAsia="宋体"/>
                <w:sz w:val="21"/>
                <w:szCs w:val="21"/>
              </w:rPr>
            </w:pPr>
            <w:r>
              <w:rPr>
                <w:rFonts w:ascii="Times New Roman" w:hAnsi="Times New Roman" w:eastAsia="宋体"/>
                <w:sz w:val="21"/>
                <w:szCs w:val="21"/>
              </w:rPr>
              <w:t>《浙江安吉农村</w:t>
            </w:r>
          </w:p>
          <w:p>
            <w:pPr>
              <w:pStyle w:val="41"/>
              <w:rPr>
                <w:rFonts w:ascii="Times New Roman" w:hAnsi="Times New Roman" w:eastAsia="宋体"/>
                <w:sz w:val="21"/>
                <w:szCs w:val="21"/>
              </w:rPr>
            </w:pPr>
            <w:r>
              <w:rPr>
                <w:rFonts w:ascii="Times New Roman" w:hAnsi="Times New Roman" w:eastAsia="宋体"/>
                <w:sz w:val="21"/>
                <w:szCs w:val="21"/>
              </w:rPr>
              <w:t>商业银行股份有限公司“碳汇共富贷”贷款管理办法（试行）》</w:t>
            </w:r>
          </w:p>
        </w:tc>
        <w:tc>
          <w:tcPr>
            <w:tcW w:w="1164"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rPr>
              <w:t>安农商银〔2022〕51 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vAlign w:val="center"/>
          </w:tcPr>
          <w:p>
            <w:pPr>
              <w:pStyle w:val="41"/>
              <w:rPr>
                <w:rFonts w:ascii="Times New Roman" w:hAnsi="Times New Roman" w:eastAsia="宋体"/>
                <w:sz w:val="21"/>
                <w:szCs w:val="21"/>
              </w:rPr>
            </w:pPr>
            <w:r>
              <w:rPr>
                <w:rFonts w:ascii="Times New Roman" w:hAnsi="Times New Roman" w:eastAsia="宋体"/>
                <w:sz w:val="21"/>
                <w:szCs w:val="21"/>
              </w:rPr>
              <w:t>针对县域符合条件的企业、村集体组织及农户，推出专项用于林业培育改造、固碳增汇产业的贷款产品，并制定具体操作细则。</w:t>
            </w:r>
          </w:p>
        </w:tc>
        <w:tc>
          <w:tcPr>
            <w:tcW w:w="602" w:type="dxa"/>
            <w:vAlign w:val="center"/>
          </w:tcPr>
          <w:p>
            <w:pPr>
              <w:pStyle w:val="41"/>
              <w:rPr>
                <w:rFonts w:ascii="Times New Roman" w:hAnsi="Times New Roman" w:eastAsia="宋体"/>
                <w:sz w:val="21"/>
                <w:szCs w:val="21"/>
                <w:lang w:eastAsia="zh-TW"/>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Pr>
          <w:p>
            <w:pPr>
              <w:pStyle w:val="41"/>
              <w:rPr>
                <w:rFonts w:ascii="Times New Roman" w:hAnsi="Times New Roman" w:eastAsia="宋体"/>
                <w:sz w:val="21"/>
                <w:szCs w:val="21"/>
              </w:rPr>
            </w:pPr>
            <w:r>
              <w:rPr>
                <w:rFonts w:ascii="Times New Roman" w:hAnsi="Times New Roman" w:eastAsia="宋体"/>
                <w:sz w:val="21"/>
                <w:szCs w:val="21"/>
              </w:rPr>
              <w:t>《浙江安吉农村商业银行股份有限公司关于支持转型金融发展的实施意见》</w:t>
            </w:r>
          </w:p>
        </w:tc>
        <w:tc>
          <w:tcPr>
            <w:tcW w:w="1164"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rPr>
              <w:t>安农商银〔2022〕121 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rPr>
              <w:t>管理办法</w:t>
            </w:r>
          </w:p>
        </w:tc>
        <w:tc>
          <w:tcPr>
            <w:tcW w:w="3861"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rPr>
              <w:t>从探索转型金融标准、创新转型金融产品、落实差异化信贷政策、依托数智平台支撑、量化转型金融考核、防控转型金融风险等方面入手，细化本行支持转型金融发展的实施路径。</w:t>
            </w:r>
          </w:p>
        </w:tc>
        <w:tc>
          <w:tcPr>
            <w:tcW w:w="602" w:type="dxa"/>
            <w:vAlign w:val="center"/>
          </w:tcPr>
          <w:p>
            <w:pPr>
              <w:pStyle w:val="41"/>
              <w:rPr>
                <w:rFonts w:ascii="Times New Roman" w:hAnsi="Times New Roman" w:eastAsia="宋体"/>
                <w:sz w:val="21"/>
                <w:szCs w:val="21"/>
                <w:lang w:eastAsia="zh-TW"/>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tcPr>
          <w:p>
            <w:pPr>
              <w:pStyle w:val="41"/>
              <w:rPr>
                <w:rFonts w:ascii="Times New Roman" w:hAnsi="Times New Roman" w:eastAsia="宋体"/>
                <w:sz w:val="21"/>
                <w:szCs w:val="21"/>
              </w:rPr>
            </w:pPr>
            <w:r>
              <w:rPr>
                <w:rFonts w:ascii="Times New Roman" w:hAnsi="Times New Roman" w:eastAsia="宋体"/>
                <w:sz w:val="21"/>
                <w:szCs w:val="21"/>
              </w:rPr>
              <w:t>《浙江安吉农村商业银行股份有限公司</w:t>
            </w:r>
            <w:r>
              <w:rPr>
                <w:rFonts w:ascii="Times New Roman" w:hAnsi="Times New Roman" w:eastAsia="宋体"/>
                <w:sz w:val="21"/>
                <w:szCs w:val="21"/>
                <w:lang w:val="en-US" w:eastAsia="zh-Hans"/>
              </w:rPr>
              <w:t>绿色普惠金融发展五年规划</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rPr>
              <w:t>安农商银〔2022〕313 号</w:t>
            </w:r>
          </w:p>
        </w:tc>
        <w:tc>
          <w:tcPr>
            <w:tcW w:w="725" w:type="dxa"/>
            <w:vAlign w:val="center"/>
          </w:tcPr>
          <w:p>
            <w:pPr>
              <w:pStyle w:val="41"/>
              <w:rPr>
                <w:rFonts w:ascii="Times New Roman" w:hAnsi="Times New Roman" w:eastAsia="宋体"/>
                <w:sz w:val="21"/>
                <w:szCs w:val="21"/>
                <w:lang w:eastAsia="zh-Hans"/>
              </w:rPr>
            </w:pPr>
            <w:r>
              <w:rPr>
                <w:rFonts w:ascii="Times New Roman" w:hAnsi="Times New Roman" w:eastAsia="宋体"/>
                <w:sz w:val="21"/>
                <w:szCs w:val="21"/>
                <w:lang w:val="en-US" w:eastAsia="zh-Hans"/>
              </w:rPr>
              <w:t>规划</w:t>
            </w:r>
          </w:p>
        </w:tc>
        <w:tc>
          <w:tcPr>
            <w:tcW w:w="3861" w:type="dxa"/>
            <w:vAlign w:val="center"/>
          </w:tcPr>
          <w:p>
            <w:pPr>
              <w:pStyle w:val="41"/>
              <w:rPr>
                <w:rFonts w:ascii="Times New Roman" w:hAnsi="Times New Roman" w:eastAsia="宋体"/>
                <w:sz w:val="21"/>
                <w:szCs w:val="21"/>
                <w:lang w:eastAsia="zh-Hans"/>
              </w:rPr>
            </w:pPr>
            <w:r>
              <w:rPr>
                <w:rFonts w:ascii="Times New Roman" w:hAnsi="Times New Roman" w:eastAsia="宋体"/>
                <w:sz w:val="21"/>
                <w:szCs w:val="21"/>
                <w:lang w:val="en-US" w:eastAsia="zh-Hans"/>
              </w:rPr>
              <w:t>从四项原则</w:t>
            </w:r>
            <w:r>
              <w:rPr>
                <w:rFonts w:ascii="Times New Roman" w:hAnsi="Times New Roman" w:eastAsia="宋体"/>
                <w:sz w:val="21"/>
                <w:szCs w:val="21"/>
                <w:lang w:eastAsia="zh-Hans"/>
              </w:rPr>
              <w:t>、</w:t>
            </w:r>
            <w:r>
              <w:rPr>
                <w:rFonts w:ascii="Times New Roman" w:hAnsi="Times New Roman" w:eastAsia="宋体"/>
                <w:sz w:val="21"/>
                <w:szCs w:val="21"/>
                <w:lang w:val="en-US" w:eastAsia="zh-Hans"/>
              </w:rPr>
              <w:t>五个目标</w:t>
            </w:r>
            <w:r>
              <w:rPr>
                <w:rFonts w:ascii="Times New Roman" w:hAnsi="Times New Roman" w:eastAsia="宋体"/>
                <w:sz w:val="21"/>
                <w:szCs w:val="21"/>
                <w:lang w:eastAsia="zh-Hans"/>
              </w:rPr>
              <w:t>、</w:t>
            </w:r>
            <w:r>
              <w:rPr>
                <w:rFonts w:ascii="Times New Roman" w:hAnsi="Times New Roman" w:eastAsia="宋体"/>
                <w:sz w:val="21"/>
                <w:szCs w:val="21"/>
                <w:lang w:val="en-US" w:eastAsia="zh-Hans"/>
              </w:rPr>
              <w:t>六大提升工程入手</w:t>
            </w:r>
            <w:r>
              <w:rPr>
                <w:rFonts w:ascii="Times New Roman" w:hAnsi="Times New Roman" w:eastAsia="宋体"/>
                <w:sz w:val="21"/>
                <w:szCs w:val="21"/>
                <w:lang w:eastAsia="zh-Hans"/>
              </w:rPr>
              <w:t>，</w:t>
            </w:r>
            <w:r>
              <w:rPr>
                <w:rFonts w:ascii="Times New Roman" w:hAnsi="Times New Roman" w:eastAsia="宋体"/>
                <w:sz w:val="21"/>
                <w:szCs w:val="21"/>
                <w:lang w:val="en-US" w:eastAsia="zh-Hans"/>
              </w:rPr>
              <w:t>规划未来五年本行绿色普惠金融发展方向和实施路径</w:t>
            </w:r>
            <w:r>
              <w:rPr>
                <w:rFonts w:ascii="Times New Roman" w:hAnsi="Times New Roman" w:eastAsia="宋体"/>
                <w:sz w:val="21"/>
                <w:szCs w:val="21"/>
                <w:lang w:eastAsia="zh-Hans"/>
              </w:rPr>
              <w:t>。</w:t>
            </w:r>
          </w:p>
        </w:tc>
        <w:tc>
          <w:tcPr>
            <w:tcW w:w="602" w:type="dxa"/>
            <w:vAlign w:val="center"/>
          </w:tcPr>
          <w:p>
            <w:pPr>
              <w:pStyle w:val="41"/>
              <w:rPr>
                <w:rFonts w:ascii="Times New Roman" w:hAnsi="Times New Roman" w:eastAsia="宋体"/>
                <w:sz w:val="21"/>
                <w:szCs w:val="21"/>
                <w:lang w:eastAsia="zh-TW"/>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浙江安吉农村商业银行股份有限公司“节水贷”贷款管理办法（试行）</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2</w:t>
            </w:r>
            <w:r>
              <w:rPr>
                <w:rFonts w:ascii="Times New Roman" w:hAnsi="Times New Roman" w:eastAsia="宋体"/>
                <w:sz w:val="21"/>
                <w:szCs w:val="21"/>
              </w:rPr>
              <w:t>〕</w:t>
            </w:r>
          </w:p>
          <w:p>
            <w:pPr>
              <w:pStyle w:val="41"/>
              <w:rPr>
                <w:rFonts w:ascii="Times New Roman" w:hAnsi="Times New Roman" w:eastAsia="宋体"/>
                <w:sz w:val="21"/>
                <w:szCs w:val="21"/>
              </w:rPr>
            </w:pPr>
            <w:r>
              <w:rPr>
                <w:rFonts w:ascii="Times New Roman" w:hAnsi="Times New Roman" w:eastAsia="宋体"/>
                <w:sz w:val="21"/>
                <w:szCs w:val="21"/>
                <w:lang w:val="en-US"/>
              </w:rPr>
              <w:t>44</w:t>
            </w:r>
            <w:r>
              <w:rPr>
                <w:rFonts w:ascii="Times New Roman" w:hAnsi="Times New Roman" w:eastAsia="宋体"/>
                <w:sz w:val="21"/>
                <w:szCs w:val="21"/>
              </w:rPr>
              <w:t>0号</w:t>
            </w:r>
          </w:p>
        </w:tc>
        <w:tc>
          <w:tcPr>
            <w:tcW w:w="725" w:type="dxa"/>
            <w:vAlign w:val="center"/>
          </w:tcPr>
          <w:p>
            <w:pPr>
              <w:pStyle w:val="41"/>
              <w:rPr>
                <w:rFonts w:ascii="Times New Roman" w:hAnsi="Times New Roman" w:eastAsia="宋体"/>
                <w:sz w:val="21"/>
                <w:szCs w:val="21"/>
                <w:lang w:val="en-US" w:eastAsia="zh-Hans"/>
              </w:rPr>
            </w:pPr>
            <w:r>
              <w:rPr>
                <w:rFonts w:ascii="Times New Roman" w:hAnsi="Times New Roman" w:eastAsia="宋体"/>
                <w:sz w:val="21"/>
                <w:szCs w:val="21"/>
                <w:lang w:val="en-US"/>
              </w:rPr>
              <w:t>管理办法</w:t>
            </w:r>
          </w:p>
        </w:tc>
        <w:tc>
          <w:tcPr>
            <w:tcW w:w="3861" w:type="dxa"/>
            <w:vAlign w:val="center"/>
          </w:tcPr>
          <w:p>
            <w:pPr>
              <w:pStyle w:val="41"/>
              <w:rPr>
                <w:rFonts w:ascii="Times New Roman" w:hAnsi="Times New Roman" w:eastAsia="宋体"/>
                <w:sz w:val="21"/>
                <w:szCs w:val="21"/>
                <w:lang w:val="en-US" w:eastAsia="zh-Hans"/>
              </w:rPr>
            </w:pPr>
            <w:r>
              <w:rPr>
                <w:rFonts w:ascii="Times New Roman" w:hAnsi="Times New Roman" w:eastAsia="宋体"/>
                <w:sz w:val="21"/>
                <w:szCs w:val="21"/>
                <w:lang w:val="en-US"/>
              </w:rPr>
              <w:t>为充分发挥绿色金融在提高水资源集约节约利用水平中的促进作用，深入推进国家节水行动，创新推出“节水贷”贷款产品，</w:t>
            </w:r>
            <w:r>
              <w:rPr>
                <w:rFonts w:ascii="Times New Roman" w:hAnsi="Times New Roman" w:eastAsia="宋体"/>
                <w:sz w:val="21"/>
                <w:szCs w:val="21"/>
              </w:rPr>
              <w:t>并制定具体操作细则。</w:t>
            </w:r>
          </w:p>
        </w:tc>
        <w:tc>
          <w:tcPr>
            <w:tcW w:w="602" w:type="dxa"/>
            <w:vAlign w:val="center"/>
          </w:tcPr>
          <w:p>
            <w:pPr>
              <w:pStyle w:val="41"/>
              <w:rPr>
                <w:rFonts w:ascii="Times New Roman" w:hAnsi="Times New Roman" w:eastAsia="宋体"/>
                <w:sz w:val="21"/>
                <w:szCs w:val="21"/>
                <w:lang w:eastAsia="zh-TW"/>
              </w:rPr>
            </w:pPr>
            <w:r>
              <w:rPr>
                <w:rFonts w:ascii="Times New Roman" w:hAnsi="Times New Roman" w:eastAsia="宋体"/>
                <w:sz w:val="21"/>
                <w:szCs w:val="21"/>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浙江安吉农村商业银行股份有限公司董事会战略（三农</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lang w:val="en-US"/>
              </w:rPr>
              <w:t>绿色金融）委员会议事规则</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pPr>
              <w:pStyle w:val="41"/>
              <w:rPr>
                <w:rFonts w:ascii="Times New Roman" w:hAnsi="Times New Roman" w:eastAsia="宋体"/>
                <w:sz w:val="21"/>
                <w:szCs w:val="21"/>
                <w:lang w:val="en-US"/>
              </w:rPr>
            </w:pPr>
            <w:r>
              <w:rPr>
                <w:rFonts w:ascii="Times New Roman" w:hAnsi="Times New Roman" w:eastAsia="宋体"/>
                <w:sz w:val="21"/>
                <w:szCs w:val="21"/>
                <w:lang w:val="en-US"/>
              </w:rPr>
              <w:t>31号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议事规则</w:t>
            </w:r>
          </w:p>
        </w:tc>
        <w:tc>
          <w:tcPr>
            <w:tcW w:w="3861"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为适应本行战略发展需求，增强核心竞争力，确定本行发展规划，健全投资决策程序，提高重大投资决策的效益和决策的质量，完善本行法人治理结构，设立董事会战略（三农</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lang w:val="en-US"/>
              </w:rPr>
              <w:t>绿色金融）委员会，并制定本议事规则。</w:t>
            </w:r>
          </w:p>
        </w:tc>
        <w:tc>
          <w:tcPr>
            <w:tcW w:w="602" w:type="dxa"/>
            <w:vAlign w:val="center"/>
          </w:tcPr>
          <w:p>
            <w:pPr>
              <w:pStyle w:val="41"/>
              <w:rPr>
                <w:rFonts w:ascii="Times New Roman" w:hAnsi="Times New Roman" w:eastAsia="宋体"/>
                <w:sz w:val="21"/>
                <w:szCs w:val="21"/>
              </w:rPr>
            </w:pPr>
            <w:r>
              <w:rPr>
                <w:rFonts w:ascii="Times New Roman" w:hAnsi="Times New Roman" w:eastAsia="宋体"/>
                <w:sz w:val="21"/>
                <w:szCs w:val="21"/>
              </w:rPr>
              <w:t>当年新增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浙江安吉农村商业银行股份有限公司“GEP贷”贷款管理办法（试行）</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pPr>
              <w:pStyle w:val="41"/>
              <w:rPr>
                <w:rFonts w:ascii="Times New Roman" w:hAnsi="Times New Roman" w:eastAsia="宋体"/>
                <w:sz w:val="21"/>
                <w:szCs w:val="21"/>
                <w:lang w:val="en-US"/>
              </w:rPr>
            </w:pPr>
            <w:r>
              <w:rPr>
                <w:rFonts w:ascii="Times New Roman" w:hAnsi="Times New Roman" w:eastAsia="宋体"/>
                <w:sz w:val="21"/>
                <w:szCs w:val="21"/>
                <w:lang w:val="en-US"/>
              </w:rPr>
              <w:t>44</w:t>
            </w:r>
            <w:r>
              <w:rPr>
                <w:rFonts w:ascii="Times New Roman" w:hAnsi="Times New Roman" w:eastAsia="宋体"/>
                <w:sz w:val="21"/>
                <w:szCs w:val="21"/>
              </w:rPr>
              <w:t>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为深入践行“绿水青山就是金山银山”理念，加大生态补偿机制，助力生态产品价值高质量转化，推出“GEP贷”贷款产品，</w:t>
            </w:r>
            <w:r>
              <w:rPr>
                <w:rFonts w:ascii="Times New Roman" w:hAnsi="Times New Roman" w:eastAsia="宋体"/>
                <w:sz w:val="21"/>
                <w:szCs w:val="21"/>
              </w:rPr>
              <w:t>并制定具体操作细则。</w:t>
            </w:r>
          </w:p>
        </w:tc>
        <w:tc>
          <w:tcPr>
            <w:tcW w:w="602" w:type="dxa"/>
            <w:vAlign w:val="center"/>
          </w:tcPr>
          <w:p>
            <w:pPr>
              <w:pStyle w:val="41"/>
              <w:rPr>
                <w:rFonts w:ascii="Times New Roman" w:hAnsi="Times New Roman" w:eastAsia="宋体"/>
                <w:sz w:val="21"/>
                <w:szCs w:val="21"/>
              </w:rPr>
            </w:pPr>
            <w:r>
              <w:rPr>
                <w:rFonts w:ascii="Times New Roman" w:hAnsi="Times New Roman" w:eastAsia="宋体"/>
                <w:sz w:val="21"/>
                <w:szCs w:val="21"/>
              </w:rPr>
              <w:t>当年新增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浙江安吉农村商业银行股份有限公司2023年度绿色金融专项考核办法</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pPr>
              <w:pStyle w:val="41"/>
              <w:rPr>
                <w:rFonts w:ascii="Times New Roman" w:hAnsi="Times New Roman" w:eastAsia="宋体"/>
                <w:sz w:val="21"/>
                <w:szCs w:val="21"/>
                <w:lang w:val="en-US"/>
              </w:rPr>
            </w:pPr>
            <w:r>
              <w:rPr>
                <w:rFonts w:ascii="Times New Roman" w:hAnsi="Times New Roman" w:eastAsia="宋体"/>
                <w:sz w:val="21"/>
                <w:szCs w:val="21"/>
                <w:lang w:val="en-US"/>
              </w:rPr>
              <w:t>79</w:t>
            </w:r>
            <w:r>
              <w:rPr>
                <w:rFonts w:ascii="Times New Roman" w:hAnsi="Times New Roman" w:eastAsia="宋体"/>
                <w:sz w:val="21"/>
                <w:szCs w:val="21"/>
              </w:rPr>
              <w:t>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考核办法</w:t>
            </w:r>
          </w:p>
        </w:tc>
        <w:tc>
          <w:tcPr>
            <w:tcW w:w="3861"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为贯彻落实中央国务院和省委省政府</w:t>
            </w:r>
            <w:r>
              <w:rPr>
                <w:rFonts w:hint="eastAsia" w:ascii="Times New Roman" w:hAnsi="Times New Roman" w:eastAsia="宋体"/>
                <w:sz w:val="21"/>
                <w:szCs w:val="21"/>
                <w:lang w:val="en-US" w:eastAsia="zh-CN"/>
              </w:rPr>
              <w:t>“双碳”</w:t>
            </w:r>
            <w:r>
              <w:rPr>
                <w:rFonts w:ascii="Times New Roman" w:hAnsi="Times New Roman" w:eastAsia="宋体"/>
                <w:sz w:val="21"/>
                <w:szCs w:val="21"/>
                <w:lang w:val="en-US"/>
              </w:rPr>
              <w:t>决策部署，助力湖州争创国家绿色金融改革创新示范区，建设安吉生态文明典范城市先行区，深入推进“绿色普惠金融深化年”，结合本行2023年度综合发展计划，特制定本考核办法。</w:t>
            </w:r>
          </w:p>
        </w:tc>
        <w:tc>
          <w:tcPr>
            <w:tcW w:w="602" w:type="dxa"/>
            <w:vAlign w:val="center"/>
          </w:tcPr>
          <w:p>
            <w:pPr>
              <w:pStyle w:val="41"/>
              <w:rPr>
                <w:rFonts w:ascii="Times New Roman" w:hAnsi="Times New Roman" w:eastAsia="宋体"/>
                <w:sz w:val="21"/>
                <w:szCs w:val="21"/>
              </w:rPr>
            </w:pPr>
            <w:r>
              <w:rPr>
                <w:rFonts w:ascii="Times New Roman" w:hAnsi="Times New Roman" w:eastAsia="宋体"/>
                <w:sz w:val="21"/>
                <w:szCs w:val="21"/>
              </w:rPr>
              <w:t>当年新增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浙江安吉农村商业银行股份有限公司排污权专项贷款管理办法（试行）</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pPr>
              <w:pStyle w:val="41"/>
              <w:rPr>
                <w:rFonts w:ascii="Times New Roman" w:hAnsi="Times New Roman" w:eastAsia="宋体"/>
                <w:sz w:val="21"/>
                <w:szCs w:val="21"/>
                <w:lang w:val="en-US"/>
              </w:rPr>
            </w:pPr>
            <w:r>
              <w:rPr>
                <w:rFonts w:ascii="Times New Roman" w:hAnsi="Times New Roman" w:eastAsia="宋体"/>
                <w:sz w:val="21"/>
                <w:szCs w:val="21"/>
                <w:lang w:val="en-US"/>
              </w:rPr>
              <w:t>280</w:t>
            </w:r>
            <w:r>
              <w:rPr>
                <w:rFonts w:ascii="Times New Roman" w:hAnsi="Times New Roman" w:eastAsia="宋体"/>
                <w:sz w:val="21"/>
                <w:szCs w:val="21"/>
              </w:rPr>
              <w:t>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为深入贯彻落实党的二十大提出的推动绿色发展新要求，积极探索绿色金融发展新模式，推动生态环境优势转化为生态经济优势，推出“排污权专项贷款”产品，</w:t>
            </w:r>
            <w:r>
              <w:rPr>
                <w:rFonts w:ascii="Times New Roman" w:hAnsi="Times New Roman" w:eastAsia="宋体"/>
                <w:sz w:val="21"/>
                <w:szCs w:val="21"/>
              </w:rPr>
              <w:t>并制定具体操作细则。</w:t>
            </w:r>
          </w:p>
        </w:tc>
        <w:tc>
          <w:tcPr>
            <w:tcW w:w="602" w:type="dxa"/>
            <w:vAlign w:val="center"/>
          </w:tcPr>
          <w:p>
            <w:pPr>
              <w:pStyle w:val="41"/>
              <w:rPr>
                <w:rFonts w:ascii="Times New Roman" w:hAnsi="Times New Roman" w:eastAsia="宋体"/>
                <w:sz w:val="21"/>
                <w:szCs w:val="21"/>
              </w:rPr>
            </w:pPr>
            <w:r>
              <w:rPr>
                <w:rFonts w:ascii="Times New Roman" w:hAnsi="Times New Roman" w:eastAsia="宋体"/>
                <w:sz w:val="21"/>
                <w:szCs w:val="21"/>
              </w:rPr>
              <w:t>当年新增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浙江安吉农村商业银行股份有限公司“生态修复贷”贷款管理办法（试行）</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pPr>
              <w:pStyle w:val="41"/>
              <w:rPr>
                <w:rFonts w:ascii="Times New Roman" w:hAnsi="Times New Roman" w:eastAsia="宋体"/>
                <w:sz w:val="21"/>
                <w:szCs w:val="21"/>
                <w:lang w:val="en-US"/>
              </w:rPr>
            </w:pPr>
            <w:r>
              <w:rPr>
                <w:rFonts w:ascii="Times New Roman" w:hAnsi="Times New Roman" w:eastAsia="宋体"/>
                <w:sz w:val="21"/>
                <w:szCs w:val="21"/>
                <w:lang w:val="en-US"/>
              </w:rPr>
              <w:t>297</w:t>
            </w:r>
            <w:r>
              <w:rPr>
                <w:rFonts w:ascii="Times New Roman" w:hAnsi="Times New Roman" w:eastAsia="宋体"/>
                <w:sz w:val="21"/>
                <w:szCs w:val="21"/>
              </w:rPr>
              <w:t>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为拓宽生态产品价值实现方式，推进生态保护和环境治理融合共生，结合相关法律法规和规章制度，运用ESG评价原则，推出“生态修复贷”，以推动生态保护修复和绿色经济发展，化生态“疤痕”为绿色“聚宝盆”，</w:t>
            </w:r>
            <w:r>
              <w:rPr>
                <w:rFonts w:ascii="Times New Roman" w:hAnsi="Times New Roman" w:eastAsia="宋体"/>
                <w:sz w:val="21"/>
                <w:szCs w:val="21"/>
              </w:rPr>
              <w:t>并制定具体操作细则。</w:t>
            </w:r>
          </w:p>
        </w:tc>
        <w:tc>
          <w:tcPr>
            <w:tcW w:w="602" w:type="dxa"/>
            <w:vAlign w:val="center"/>
          </w:tcPr>
          <w:p>
            <w:pPr>
              <w:pStyle w:val="41"/>
              <w:rPr>
                <w:rFonts w:ascii="Times New Roman" w:hAnsi="Times New Roman" w:eastAsia="宋体"/>
                <w:sz w:val="21"/>
                <w:szCs w:val="21"/>
              </w:rPr>
            </w:pPr>
            <w:r>
              <w:rPr>
                <w:rFonts w:ascii="Times New Roman" w:hAnsi="Times New Roman" w:eastAsia="宋体"/>
                <w:sz w:val="21"/>
                <w:szCs w:val="21"/>
              </w:rPr>
              <w:t>当年新增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2" w:type="dxa"/>
            <w:vAlign w:val="center"/>
          </w:tcPr>
          <w:p>
            <w:pPr>
              <w:pStyle w:val="41"/>
              <w:rPr>
                <w:rFonts w:ascii="Times New Roman" w:hAnsi="Times New Roman" w:eastAsia="宋体"/>
                <w:sz w:val="21"/>
                <w:szCs w:val="21"/>
              </w:rPr>
            </w:pPr>
            <w:r>
              <w:rPr>
                <w:rFonts w:ascii="Times New Roman" w:hAnsi="Times New Roman" w:eastAsia="宋体"/>
                <w:sz w:val="21"/>
                <w:szCs w:val="21"/>
              </w:rPr>
              <w:t>《</w:t>
            </w:r>
            <w:r>
              <w:rPr>
                <w:rFonts w:ascii="Times New Roman" w:hAnsi="Times New Roman" w:eastAsia="宋体"/>
                <w:sz w:val="21"/>
                <w:szCs w:val="21"/>
                <w:lang w:val="en-US"/>
              </w:rPr>
              <w:t>浙江安吉农村商业银行股份有限公司“绿汇贷”贷款管理办法（试行）</w:t>
            </w:r>
            <w:r>
              <w:rPr>
                <w:rFonts w:ascii="Times New Roman" w:hAnsi="Times New Roman" w:eastAsia="宋体"/>
                <w:sz w:val="21"/>
                <w:szCs w:val="21"/>
              </w:rPr>
              <w:t>》</w:t>
            </w:r>
          </w:p>
        </w:tc>
        <w:tc>
          <w:tcPr>
            <w:tcW w:w="1164" w:type="dxa"/>
            <w:vAlign w:val="center"/>
          </w:tcPr>
          <w:p>
            <w:pPr>
              <w:pStyle w:val="41"/>
              <w:rPr>
                <w:rFonts w:ascii="Times New Roman" w:hAnsi="Times New Roman" w:eastAsia="宋体"/>
                <w:sz w:val="21"/>
                <w:szCs w:val="21"/>
              </w:rPr>
            </w:pPr>
            <w:r>
              <w:rPr>
                <w:rFonts w:ascii="Times New Roman" w:hAnsi="Times New Roman" w:eastAsia="宋体"/>
                <w:sz w:val="21"/>
                <w:szCs w:val="21"/>
                <w:lang w:val="en-US"/>
              </w:rPr>
              <w:t>安农商</w:t>
            </w:r>
            <w:r>
              <w:rPr>
                <w:rFonts w:ascii="Times New Roman" w:hAnsi="Times New Roman" w:eastAsia="宋体"/>
                <w:sz w:val="21"/>
                <w:szCs w:val="21"/>
              </w:rPr>
              <w:t>银〔202</w:t>
            </w:r>
            <w:r>
              <w:rPr>
                <w:rFonts w:ascii="Times New Roman" w:hAnsi="Times New Roman" w:eastAsia="宋体"/>
                <w:sz w:val="21"/>
                <w:szCs w:val="21"/>
                <w:lang w:val="en-US"/>
              </w:rPr>
              <w:t>3</w:t>
            </w:r>
            <w:r>
              <w:rPr>
                <w:rFonts w:ascii="Times New Roman" w:hAnsi="Times New Roman" w:eastAsia="宋体"/>
                <w:sz w:val="21"/>
                <w:szCs w:val="21"/>
              </w:rPr>
              <w:t>〕</w:t>
            </w:r>
          </w:p>
          <w:p>
            <w:pPr>
              <w:pStyle w:val="41"/>
              <w:rPr>
                <w:rFonts w:ascii="Times New Roman" w:hAnsi="Times New Roman" w:eastAsia="宋体"/>
                <w:sz w:val="21"/>
                <w:szCs w:val="21"/>
                <w:lang w:val="en-US"/>
              </w:rPr>
            </w:pPr>
            <w:r>
              <w:rPr>
                <w:rFonts w:ascii="Times New Roman" w:hAnsi="Times New Roman" w:eastAsia="宋体"/>
                <w:sz w:val="21"/>
                <w:szCs w:val="21"/>
                <w:lang w:val="en-US"/>
              </w:rPr>
              <w:t>317</w:t>
            </w:r>
            <w:r>
              <w:rPr>
                <w:rFonts w:ascii="Times New Roman" w:hAnsi="Times New Roman" w:eastAsia="宋体"/>
                <w:sz w:val="21"/>
                <w:szCs w:val="21"/>
              </w:rPr>
              <w:t>号</w:t>
            </w:r>
          </w:p>
        </w:tc>
        <w:tc>
          <w:tcPr>
            <w:tcW w:w="725"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管理办法</w:t>
            </w:r>
          </w:p>
        </w:tc>
        <w:tc>
          <w:tcPr>
            <w:tcW w:w="3861" w:type="dxa"/>
            <w:vAlign w:val="center"/>
          </w:tcPr>
          <w:p>
            <w:pPr>
              <w:pStyle w:val="41"/>
              <w:rPr>
                <w:rFonts w:ascii="Times New Roman" w:hAnsi="Times New Roman" w:eastAsia="宋体"/>
                <w:sz w:val="21"/>
                <w:szCs w:val="21"/>
                <w:lang w:val="en-US"/>
              </w:rPr>
            </w:pPr>
            <w:r>
              <w:rPr>
                <w:rFonts w:ascii="Times New Roman" w:hAnsi="Times New Roman" w:eastAsia="宋体"/>
                <w:sz w:val="21"/>
                <w:szCs w:val="21"/>
                <w:lang w:val="en-US"/>
              </w:rPr>
              <w:t>为贯彻省、市委相关部署要求，加快构建绿色外汇服务体系，推进外汇服务绿色低碳循环经济发展，推出“绿汇贷”，</w:t>
            </w:r>
            <w:r>
              <w:rPr>
                <w:rFonts w:ascii="Times New Roman" w:hAnsi="Times New Roman" w:eastAsia="宋体"/>
                <w:sz w:val="21"/>
                <w:szCs w:val="21"/>
              </w:rPr>
              <w:t>并制定具体操作细则。</w:t>
            </w:r>
          </w:p>
        </w:tc>
        <w:tc>
          <w:tcPr>
            <w:tcW w:w="602" w:type="dxa"/>
            <w:vAlign w:val="center"/>
          </w:tcPr>
          <w:p>
            <w:pPr>
              <w:pStyle w:val="41"/>
              <w:rPr>
                <w:rFonts w:ascii="Times New Roman" w:hAnsi="Times New Roman" w:eastAsia="宋体"/>
                <w:sz w:val="21"/>
                <w:szCs w:val="21"/>
              </w:rPr>
            </w:pPr>
            <w:r>
              <w:rPr>
                <w:rFonts w:ascii="Times New Roman" w:hAnsi="Times New Roman" w:eastAsia="宋体"/>
                <w:sz w:val="21"/>
                <w:szCs w:val="21"/>
              </w:rPr>
              <w:t>当年新增</w:t>
            </w:r>
          </w:p>
        </w:tc>
      </w:tr>
    </w:tbl>
    <w:p>
      <w:pPr>
        <w:pStyle w:val="4"/>
        <w:ind w:firstLine="640"/>
        <w:rPr>
          <w:rFonts w:ascii="Times New Roman" w:hAnsi="Times New Roman"/>
          <w:color w:val="000000"/>
          <w:u w:color="000000"/>
          <w:lang w:val="en-US"/>
        </w:rPr>
      </w:pPr>
      <w:bookmarkStart w:id="90" w:name="_Toc3921"/>
      <w:r>
        <w:rPr>
          <w:rFonts w:ascii="Times New Roman" w:hAnsi="Times New Roman"/>
          <w:color w:val="000000"/>
          <w:u w:color="000000"/>
          <w:lang w:val="en-US"/>
        </w:rPr>
        <w:t>5金融机构环境风险、机遇的分析与管理</w:t>
      </w:r>
      <w:bookmarkEnd w:id="90"/>
    </w:p>
    <w:p>
      <w:pPr>
        <w:pStyle w:val="37"/>
        <w:ind w:firstLine="643"/>
        <w:rPr>
          <w:rFonts w:ascii="Times New Roman" w:hAnsi="Times New Roman"/>
          <w:lang w:eastAsia="zh-CN"/>
        </w:rPr>
      </w:pPr>
      <w:bookmarkStart w:id="91" w:name="_Toc17111"/>
      <w:r>
        <w:rPr>
          <w:rFonts w:ascii="Times New Roman" w:hAnsi="Times New Roman"/>
          <w:lang w:eastAsia="zh-CN"/>
        </w:rPr>
        <w:t>5.1</w:t>
      </w:r>
      <w:r>
        <w:rPr>
          <w:rFonts w:ascii="Times New Roman" w:hAnsi="Times New Roman"/>
        </w:rPr>
        <w:t>金融机构</w:t>
      </w:r>
      <w:bookmarkEnd w:id="88"/>
      <w:r>
        <w:rPr>
          <w:rFonts w:ascii="Times New Roman" w:hAnsi="Times New Roman"/>
          <w:lang w:eastAsia="zh-CN"/>
        </w:rPr>
        <w:t>环境风险影响</w:t>
      </w:r>
      <w:bookmarkEnd w:id="91"/>
    </w:p>
    <w:p>
      <w:pPr>
        <w:pStyle w:val="24"/>
        <w:tabs>
          <w:tab w:val="left" w:pos="949"/>
        </w:tabs>
        <w:spacing w:line="560" w:lineRule="exact"/>
        <w:ind w:firstLine="640" w:firstLineChars="200"/>
        <w:rPr>
          <w:rFonts w:eastAsia="仿宋_GB2312" w:cs="Times New Roman"/>
          <w:color w:val="auto"/>
          <w:sz w:val="32"/>
          <w:szCs w:val="32"/>
          <w:lang w:val="zh-TW"/>
        </w:rPr>
      </w:pPr>
      <w:r>
        <w:rPr>
          <w:rFonts w:hint="eastAsia" w:eastAsia="仿宋_GB2312" w:cs="Times New Roman"/>
          <w:color w:val="auto"/>
          <w:sz w:val="32"/>
          <w:szCs w:val="32"/>
        </w:rPr>
        <w:t>当前，金融机构受</w:t>
      </w:r>
      <w:r>
        <w:rPr>
          <w:rFonts w:hint="eastAsia" w:ascii="仿宋_GB2312" w:hAnsi="仿宋_GB2312" w:eastAsia="仿宋_GB2312" w:cs="仿宋_GB2312"/>
          <w:color w:val="auto"/>
          <w:sz w:val="32"/>
          <w:szCs w:val="32"/>
        </w:rPr>
        <w:t>环境风险影响日益凸显，气候变化和资源短缺等环境风险会对金融机构的稳定性和可持续发展带来影响。</w:t>
      </w:r>
      <w:r>
        <w:rPr>
          <w:rFonts w:ascii="仿宋_GB2312" w:hAnsi="仿宋_GB2312" w:eastAsia="仿宋_GB2312" w:cs="仿宋_GB2312"/>
          <w:color w:val="auto"/>
          <w:sz w:val="32"/>
          <w:szCs w:val="32"/>
          <w:lang w:val="zh-TW"/>
        </w:rPr>
        <w:t>随着国家环境治理体系的不断完善，企业的环境风险演化为经营风险的可能性不断增加，</w:t>
      </w:r>
      <w:r>
        <w:rPr>
          <w:rFonts w:hint="eastAsia" w:ascii="仿宋_GB2312" w:hAnsi="仿宋_GB2312" w:eastAsia="仿宋_GB2312" w:cs="仿宋_GB2312"/>
          <w:color w:val="auto"/>
          <w:sz w:val="32"/>
          <w:szCs w:val="32"/>
        </w:rPr>
        <w:t>特别是随着“双碳”目标的提出，</w:t>
      </w:r>
      <w:r>
        <w:rPr>
          <w:rFonts w:ascii="仿宋_GB2312" w:hAnsi="仿宋_GB2312" w:eastAsia="仿宋_GB2312" w:cs="仿宋_GB2312"/>
          <w:color w:val="auto"/>
          <w:sz w:val="32"/>
          <w:szCs w:val="32"/>
          <w:lang w:val="zh-TW"/>
        </w:rPr>
        <w:t>对高污染和高能耗行业过度集中的资产配置</w:t>
      </w:r>
      <w:r>
        <w:rPr>
          <w:rFonts w:eastAsia="仿宋_GB2312" w:cs="Times New Roman"/>
          <w:color w:val="auto"/>
          <w:sz w:val="32"/>
          <w:szCs w:val="32"/>
          <w:lang w:val="zh-TW"/>
        </w:rPr>
        <w:t>将产生较大的潜在风险。对于金融机构而言，无论是环境责任导致的直接风险，还是因环境问题造成成本上升带来的违约风险，</w:t>
      </w:r>
      <w:r>
        <w:rPr>
          <w:rFonts w:eastAsia="仿宋_GB2312" w:cs="Times New Roman"/>
          <w:color w:val="auto"/>
          <w:sz w:val="32"/>
          <w:szCs w:val="32"/>
        </w:rPr>
        <w:t>亦</w:t>
      </w:r>
      <w:r>
        <w:rPr>
          <w:rFonts w:eastAsia="仿宋_GB2312" w:cs="Times New Roman"/>
          <w:color w:val="auto"/>
          <w:sz w:val="32"/>
          <w:szCs w:val="32"/>
          <w:lang w:val="zh-TW"/>
        </w:rPr>
        <w:t>或是企业作为债权人因环境问题引发的声誉风险，都将直接或间接地影响金融机构作为金融媒介的正常运营和资金配置作用的发挥。但从长远来看，一方面金融机构通过对环境风险分析，可以识别和量化环境因素引发的金融风险及创造的潜在投资机会，从而规避经济损失和金融风险，获得潜在收益；另一方面金融监管机构通过环境风险分析，可以识别和防范环境相关因素可能引起的系统性金融风险，防止超预期损失的发生。</w:t>
      </w:r>
    </w:p>
    <w:p>
      <w:pPr>
        <w:pStyle w:val="37"/>
        <w:ind w:firstLine="643"/>
        <w:rPr>
          <w:rFonts w:ascii="Times New Roman" w:hAnsi="Times New Roman"/>
        </w:rPr>
      </w:pPr>
      <w:bookmarkStart w:id="92" w:name="_Toc70665261"/>
      <w:bookmarkStart w:id="93" w:name="_Toc4503"/>
      <w:bookmarkStart w:id="94" w:name="_Toc23339691"/>
      <w:bookmarkStart w:id="95" w:name="_Toc23339953"/>
      <w:r>
        <w:rPr>
          <w:rFonts w:ascii="Times New Roman" w:hAnsi="Times New Roman"/>
        </w:rPr>
        <w:t>5.</w:t>
      </w:r>
      <w:r>
        <w:rPr>
          <w:rFonts w:ascii="Times New Roman" w:hAnsi="Times New Roman"/>
          <w:lang w:eastAsia="zh-CN"/>
        </w:rPr>
        <w:t>2</w:t>
      </w:r>
      <w:r>
        <w:rPr>
          <w:rFonts w:ascii="Times New Roman" w:hAnsi="Times New Roman"/>
        </w:rPr>
        <w:t xml:space="preserve"> 环境风险管理及流程</w:t>
      </w:r>
      <w:bookmarkEnd w:id="92"/>
      <w:bookmarkEnd w:id="93"/>
    </w:p>
    <w:p>
      <w:pPr>
        <w:spacing w:line="560" w:lineRule="exact"/>
        <w:ind w:firstLine="640" w:firstLineChars="200"/>
        <w:rPr>
          <w:rFonts w:eastAsia="仿宋_GB2312"/>
          <w:sz w:val="32"/>
          <w:szCs w:val="32"/>
          <w:u w:color="000000"/>
        </w:rPr>
      </w:pPr>
      <w:r>
        <w:rPr>
          <w:rFonts w:eastAsia="仿宋_GB2312"/>
          <w:sz w:val="32"/>
          <w:szCs w:val="32"/>
          <w:u w:color="000000"/>
          <w:lang w:val="zh-TW"/>
        </w:rPr>
        <w:t>本行围绕产业表现、环境表现、社会表现三个层面，涵盖八个维度建成绿色信贷环境和社会风控体系，做好信贷资产风控保障，推进绿色信贷精准投放，健全绿色信贷风险防范机制，主要流程如下：</w:t>
      </w:r>
    </w:p>
    <w:p>
      <w:pPr>
        <w:pStyle w:val="37"/>
        <w:ind w:firstLine="643"/>
        <w:rPr>
          <w:rFonts w:ascii="Times New Roman" w:hAnsi="Times New Roman"/>
          <w:lang w:eastAsia="zh-CN"/>
        </w:rPr>
      </w:pPr>
      <w:bookmarkStart w:id="96" w:name="_Toc42012338"/>
      <w:bookmarkStart w:id="97" w:name="_Toc24016"/>
      <w:r>
        <w:rPr>
          <w:rFonts w:ascii="Times New Roman" w:hAnsi="Times New Roman"/>
          <w:lang w:eastAsia="zh-CN"/>
        </w:rPr>
        <w:t>5.2.1</w:t>
      </w:r>
      <w:bookmarkEnd w:id="96"/>
      <w:r>
        <w:rPr>
          <w:rFonts w:ascii="Times New Roman" w:hAnsi="Times New Roman"/>
          <w:lang w:eastAsia="zh-CN"/>
        </w:rPr>
        <w:t>调查准入环节</w:t>
      </w:r>
      <w:bookmarkEnd w:id="97"/>
      <w:r>
        <w:rPr>
          <w:rFonts w:ascii="Times New Roman" w:hAnsi="Times New Roman"/>
          <w:lang w:eastAsia="zh-CN"/>
        </w:rPr>
        <w:t xml:space="preserve"> </w:t>
      </w:r>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将环境与社会风险作为尽职调查重要内容，通过绿色信息共享平台机制建设获取政府部门披露的相关绿色信息，结合县域环保、安监等部门对重点产业及企业的相应评级和打分，将风险可能性较大的存量橙色关注类和红色退出类企业进行名单制管理，实现在准入环节识别信贷资产风险，做好信贷资产风控保障。</w:t>
      </w:r>
    </w:p>
    <w:p>
      <w:pPr>
        <w:pStyle w:val="37"/>
        <w:ind w:firstLine="643"/>
        <w:rPr>
          <w:rFonts w:ascii="Times New Roman" w:hAnsi="Times New Roman"/>
          <w:lang w:eastAsia="zh-CN"/>
        </w:rPr>
      </w:pPr>
      <w:bookmarkStart w:id="98" w:name="_Toc42012339"/>
      <w:bookmarkStart w:id="99" w:name="_Toc12907"/>
      <w:r>
        <w:rPr>
          <w:rFonts w:ascii="Times New Roman" w:hAnsi="Times New Roman"/>
          <w:lang w:eastAsia="zh-CN"/>
        </w:rPr>
        <w:t>5.2.2</w:t>
      </w:r>
      <w:bookmarkEnd w:id="98"/>
      <w:r>
        <w:rPr>
          <w:rFonts w:ascii="Times New Roman" w:hAnsi="Times New Roman"/>
          <w:lang w:eastAsia="zh-CN"/>
        </w:rPr>
        <w:t>审查审批环节</w:t>
      </w:r>
      <w:bookmarkEnd w:id="99"/>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通</w:t>
      </w:r>
      <w:r>
        <w:rPr>
          <w:rFonts w:ascii="仿宋_GB2312" w:hAnsi="仿宋_GB2312" w:eastAsia="仿宋_GB2312" w:cs="仿宋_GB2312"/>
          <w:sz w:val="32"/>
          <w:szCs w:val="32"/>
          <w:u w:color="000000"/>
          <w:lang w:val="zh-TW"/>
        </w:rPr>
        <w:t>过“环境与社会风险评估系统”为客户开展绿色评级进行</w:t>
      </w:r>
      <w:r>
        <w:rPr>
          <w:rFonts w:hint="eastAsia" w:ascii="仿宋_GB2312" w:hAnsi="仿宋_GB2312" w:eastAsia="仿宋_GB2312" w:cs="仿宋_GB2312"/>
          <w:sz w:val="32"/>
          <w:szCs w:val="32"/>
          <w:u w:color="000000"/>
          <w:lang w:val="zh-TW" w:eastAsia="zh-CN"/>
        </w:rPr>
        <w:t>“</w:t>
      </w:r>
      <w:r>
        <w:rPr>
          <w:rFonts w:ascii="仿宋_GB2312" w:hAnsi="仿宋_GB2312" w:eastAsia="仿宋_GB2312" w:cs="仿宋_GB2312"/>
          <w:sz w:val="32"/>
          <w:szCs w:val="32"/>
          <w:u w:color="000000"/>
          <w:lang w:val="zh-TW"/>
        </w:rPr>
        <w:t>绿色友好</w:t>
      </w:r>
      <w:r>
        <w:rPr>
          <w:rFonts w:hint="eastAsia" w:ascii="仿宋_GB2312" w:hAnsi="仿宋_GB2312" w:eastAsia="仿宋_GB2312" w:cs="仿宋_GB2312"/>
          <w:sz w:val="32"/>
          <w:szCs w:val="32"/>
          <w:u w:color="000000"/>
          <w:lang w:val="zh-TW"/>
        </w:rPr>
        <w:t>、</w:t>
      </w:r>
      <w:r>
        <w:rPr>
          <w:rFonts w:ascii="仿宋_GB2312" w:hAnsi="仿宋_GB2312" w:eastAsia="仿宋_GB2312" w:cs="仿宋_GB2312"/>
          <w:sz w:val="32"/>
          <w:szCs w:val="32"/>
          <w:u w:color="000000"/>
          <w:lang w:val="zh-TW"/>
        </w:rPr>
        <w:t>蓝色基础、</w:t>
      </w:r>
      <w:r>
        <w:rPr>
          <w:rFonts w:hint="eastAsia" w:ascii="仿宋_GB2312" w:hAnsi="仿宋_GB2312" w:eastAsia="仿宋_GB2312" w:cs="仿宋_GB2312"/>
          <w:sz w:val="32"/>
          <w:szCs w:val="32"/>
          <w:u w:color="000000"/>
          <w:lang w:val="zh-TW"/>
        </w:rPr>
        <w:t>橙色</w:t>
      </w:r>
      <w:r>
        <w:rPr>
          <w:rFonts w:ascii="仿宋_GB2312" w:hAnsi="仿宋_GB2312" w:eastAsia="仿宋_GB2312" w:cs="仿宋_GB2312"/>
          <w:sz w:val="32"/>
          <w:szCs w:val="32"/>
          <w:u w:color="000000"/>
          <w:lang w:val="zh-TW"/>
        </w:rPr>
        <w:t>关注</w:t>
      </w:r>
      <w:r>
        <w:rPr>
          <w:rFonts w:hint="eastAsia" w:ascii="仿宋_GB2312" w:hAnsi="仿宋_GB2312" w:eastAsia="仿宋_GB2312" w:cs="仿宋_GB2312"/>
          <w:sz w:val="32"/>
          <w:szCs w:val="32"/>
          <w:u w:color="000000"/>
          <w:lang w:val="zh-TW"/>
        </w:rPr>
        <w:t>、</w:t>
      </w:r>
      <w:r>
        <w:rPr>
          <w:rFonts w:eastAsia="仿宋_GB2312"/>
          <w:sz w:val="32"/>
          <w:szCs w:val="32"/>
          <w:u w:color="000000"/>
          <w:lang w:val="zh-TW"/>
        </w:rPr>
        <w:t>红色退出</w:t>
      </w:r>
      <w:r>
        <w:rPr>
          <w:rFonts w:hint="eastAsia" w:eastAsia="仿宋_GB2312"/>
          <w:sz w:val="32"/>
          <w:szCs w:val="32"/>
          <w:u w:color="000000"/>
          <w:lang w:val="zh-TW" w:eastAsia="zh-CN"/>
        </w:rPr>
        <w:t>”</w:t>
      </w:r>
      <w:r>
        <w:rPr>
          <w:rFonts w:ascii="仿宋_GB2312" w:hAnsi="仿宋_GB2312" w:eastAsia="仿宋_GB2312" w:cs="仿宋_GB2312"/>
          <w:sz w:val="32"/>
          <w:szCs w:val="32"/>
          <w:u w:color="000000"/>
          <w:lang w:val="zh-TW"/>
        </w:rPr>
        <w:t>四色分类，</w:t>
      </w:r>
      <w:r>
        <w:rPr>
          <w:rFonts w:eastAsia="仿宋_GB2312"/>
          <w:sz w:val="32"/>
          <w:szCs w:val="32"/>
          <w:u w:color="000000"/>
          <w:lang w:val="zh-TW"/>
        </w:rPr>
        <w:t>分层管理、区别</w:t>
      </w:r>
      <w:r>
        <w:rPr>
          <w:rFonts w:ascii="仿宋_GB2312" w:hAnsi="仿宋_GB2312" w:eastAsia="仿宋_GB2312" w:cs="仿宋_GB2312"/>
          <w:sz w:val="32"/>
          <w:szCs w:val="32"/>
          <w:u w:color="000000"/>
          <w:lang w:val="zh-TW"/>
        </w:rPr>
        <w:t>服务。并创建“绿色信贷专项审批通道”，将环境专员前置审核环节，对绿色信贷进行逐笔审核指导，确保绿色投向；同时在系统增设“绿色信贷”“绿债投向”等特色产品标签，从授信准入到用信管理全程贯穿对绿色</w:t>
      </w:r>
      <w:r>
        <w:rPr>
          <w:rFonts w:eastAsia="仿宋_GB2312"/>
          <w:sz w:val="32"/>
          <w:szCs w:val="32"/>
          <w:u w:color="000000"/>
          <w:lang w:val="zh-TW"/>
        </w:rPr>
        <w:t>客户评级及绿色信贷的审核，有效甄别信贷投放环境风险。</w:t>
      </w:r>
    </w:p>
    <w:p>
      <w:pPr>
        <w:pStyle w:val="37"/>
        <w:ind w:firstLine="643"/>
        <w:rPr>
          <w:rFonts w:ascii="Times New Roman" w:hAnsi="Times New Roman"/>
          <w:lang w:eastAsia="zh-CN"/>
        </w:rPr>
      </w:pPr>
      <w:bookmarkStart w:id="100" w:name="_Toc42012340"/>
      <w:bookmarkStart w:id="101" w:name="_Toc8378"/>
      <w:r>
        <w:rPr>
          <w:rFonts w:ascii="Times New Roman" w:hAnsi="Times New Roman"/>
          <w:lang w:eastAsia="zh-CN"/>
        </w:rPr>
        <w:t>5.2.3</w:t>
      </w:r>
      <w:bookmarkEnd w:id="100"/>
      <w:r>
        <w:rPr>
          <w:rFonts w:ascii="Times New Roman" w:hAnsi="Times New Roman"/>
          <w:lang w:eastAsia="zh-CN"/>
        </w:rPr>
        <w:t>合同签署环节</w:t>
      </w:r>
      <w:bookmarkEnd w:id="101"/>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针</w:t>
      </w:r>
      <w:r>
        <w:rPr>
          <w:rFonts w:ascii="仿宋_GB2312" w:hAnsi="仿宋_GB2312" w:eastAsia="仿宋_GB2312" w:cs="仿宋_GB2312"/>
          <w:sz w:val="32"/>
          <w:szCs w:val="32"/>
          <w:u w:color="000000"/>
          <w:lang w:val="zh-TW"/>
        </w:rPr>
        <w:t>对所有企业客户及大额经营性个人客户，在借款合同中与客户约定加强环境风险管理的声明和保证条款，提高信贷资金安全保障</w:t>
      </w:r>
      <w:r>
        <w:rPr>
          <w:rFonts w:eastAsia="仿宋_GB2312"/>
          <w:sz w:val="32"/>
          <w:szCs w:val="32"/>
          <w:u w:color="000000"/>
          <w:lang w:val="zh-TW"/>
        </w:rPr>
        <w:t>，有效引导客户提升环境风险防范意识，从而注重日常绿色经营。</w:t>
      </w:r>
    </w:p>
    <w:p>
      <w:pPr>
        <w:pStyle w:val="37"/>
        <w:ind w:firstLine="643"/>
        <w:rPr>
          <w:rFonts w:ascii="Times New Roman" w:hAnsi="Times New Roman"/>
          <w:lang w:eastAsia="zh-CN"/>
        </w:rPr>
      </w:pPr>
      <w:bookmarkStart w:id="102" w:name="_Toc42012341"/>
      <w:bookmarkStart w:id="103" w:name="_Toc2460"/>
      <w:r>
        <w:rPr>
          <w:rFonts w:ascii="Times New Roman" w:hAnsi="Times New Roman"/>
          <w:lang w:eastAsia="zh-CN"/>
        </w:rPr>
        <w:t>5.2.4</w:t>
      </w:r>
      <w:bookmarkEnd w:id="102"/>
      <w:r>
        <w:rPr>
          <w:rFonts w:ascii="Times New Roman" w:hAnsi="Times New Roman"/>
          <w:lang w:eastAsia="zh-CN"/>
        </w:rPr>
        <w:t>贷后管理环节</w:t>
      </w:r>
      <w:bookmarkEnd w:id="103"/>
    </w:p>
    <w:p>
      <w:pPr>
        <w:spacing w:line="560" w:lineRule="exact"/>
        <w:ind w:firstLine="640" w:firstLineChars="200"/>
      </w:pPr>
      <w:r>
        <w:rPr>
          <w:rFonts w:eastAsia="仿宋_GB2312"/>
          <w:sz w:val="32"/>
          <w:szCs w:val="32"/>
          <w:u w:color="000000"/>
          <w:lang w:val="zh-TW"/>
        </w:rPr>
        <w:t>按照绿色信贷全流程管理模式，将企业绿色信息作为贷后跟踪的重要内容。客户经理动态跟踪环保、安监、生态办等部门对企业开展的相关检查以及评定结果，企业绿色信息发生变化的，及时关注发展动向并采取防范措施，同时在绿色信息共享平台中纳入变化的信息，以备后期跟踪管理。</w:t>
      </w:r>
      <w:bookmarkStart w:id="104" w:name="_Toc70665262"/>
    </w:p>
    <w:p>
      <w:pPr>
        <w:pStyle w:val="4"/>
        <w:ind w:firstLine="640"/>
        <w:rPr>
          <w:rFonts w:ascii="Times New Roman" w:hAnsi="Times New Roman"/>
          <w:color w:val="000000"/>
          <w:u w:color="000000"/>
          <w:lang w:val="en-US"/>
        </w:rPr>
      </w:pPr>
      <w:bookmarkStart w:id="105" w:name="_Toc2809"/>
      <w:r>
        <w:rPr>
          <w:rFonts w:ascii="Times New Roman" w:hAnsi="Times New Roman"/>
          <w:color w:val="000000"/>
          <w:u w:color="000000"/>
          <w:lang w:val="en-US"/>
        </w:rPr>
        <w:t>6本机构经营活动对环境产生的影响</w:t>
      </w:r>
      <w:bookmarkEnd w:id="104"/>
      <w:bookmarkEnd w:id="105"/>
    </w:p>
    <w:p>
      <w:pPr>
        <w:pStyle w:val="37"/>
        <w:ind w:firstLine="643"/>
        <w:rPr>
          <w:rFonts w:ascii="Times New Roman" w:hAnsi="Times New Roman"/>
          <w:lang w:eastAsia="zh-CN"/>
        </w:rPr>
      </w:pPr>
      <w:bookmarkStart w:id="106" w:name="_Toc3210"/>
      <w:r>
        <w:rPr>
          <w:rFonts w:ascii="Times New Roman" w:hAnsi="Times New Roman" w:eastAsia="仿宋_GB2312"/>
        </w:rPr>
        <w:t>6.</w:t>
      </w:r>
      <w:r>
        <w:rPr>
          <w:rFonts w:ascii="Times New Roman" w:hAnsi="Times New Roman"/>
        </w:rPr>
        <w:t>1本机构</w:t>
      </w:r>
      <w:r>
        <w:rPr>
          <w:rFonts w:hint="eastAsia" w:ascii="Times New Roman" w:hAnsi="Times New Roman"/>
          <w:lang w:val="en-US" w:eastAsia="zh-CN"/>
        </w:rPr>
        <w:t>2022</w:t>
      </w:r>
      <w:r>
        <w:rPr>
          <w:rFonts w:ascii="Times New Roman" w:hAnsi="Times New Roman"/>
          <w:lang w:eastAsia="zh-CN"/>
        </w:rPr>
        <w:t>年经营活动</w:t>
      </w:r>
      <w:r>
        <w:rPr>
          <w:rFonts w:ascii="Times New Roman" w:hAnsi="Times New Roman"/>
        </w:rPr>
        <w:t>产生的</w:t>
      </w:r>
      <w:r>
        <w:rPr>
          <w:rFonts w:ascii="Times New Roman" w:hAnsi="Times New Roman"/>
          <w:lang w:eastAsia="zh-CN"/>
        </w:rPr>
        <w:t>碳排放</w:t>
      </w:r>
      <w:bookmarkEnd w:id="106"/>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根据监管部门有关要求，本行联合第三方专业</w:t>
      </w:r>
      <w:r>
        <w:rPr>
          <w:rFonts w:hint="default" w:eastAsia="仿宋_GB2312"/>
          <w:sz w:val="32"/>
          <w:szCs w:val="32"/>
          <w:u w:color="000000"/>
          <w:lang w:val="zh-TW"/>
        </w:rPr>
        <w:t>机构</w:t>
      </w:r>
      <w:r>
        <w:rPr>
          <w:rFonts w:eastAsia="仿宋_GB2312"/>
          <w:sz w:val="32"/>
          <w:szCs w:val="32"/>
          <w:u w:color="000000"/>
          <w:lang w:val="zh-TW"/>
        </w:rPr>
        <w:t>核算了</w:t>
      </w:r>
      <w:r>
        <w:rPr>
          <w:rFonts w:hint="default" w:eastAsia="仿宋_GB2312"/>
          <w:color w:val="000000"/>
          <w:sz w:val="32"/>
          <w:szCs w:val="32"/>
          <w:u w:color="000000"/>
          <w:lang w:val="zh-TW"/>
        </w:rPr>
        <w:t>2022</w:t>
      </w:r>
      <w:r>
        <w:rPr>
          <w:rFonts w:eastAsia="仿宋_GB2312"/>
          <w:sz w:val="32"/>
          <w:szCs w:val="32"/>
          <w:u w:color="000000"/>
          <w:lang w:val="zh-TW"/>
        </w:rPr>
        <w:t>年度银行自身运营碳排放量</w:t>
      </w:r>
      <w:r>
        <w:rPr>
          <w:rFonts w:hint="default" w:eastAsia="仿宋_GB2312"/>
          <w:sz w:val="32"/>
          <w:szCs w:val="32"/>
          <w:u w:color="000000"/>
          <w:lang w:val="zh-TW"/>
        </w:rPr>
        <w:t>，</w:t>
      </w:r>
      <w:r>
        <w:rPr>
          <w:rFonts w:hint="default" w:ascii="Times New Roman" w:hAnsi="Times New Roman" w:eastAsia="仿宋_GB2312" w:cs="Times New Roman"/>
          <w:sz w:val="32"/>
          <w:szCs w:val="32"/>
          <w:u w:color="000000"/>
          <w:lang w:val="zh-TW"/>
        </w:rPr>
        <w:t>并出具了《浙江安吉农村商业银行股份有限公司2022年度温室气体排放总体测算结果》报告。</w:t>
      </w:r>
    </w:p>
    <w:p>
      <w:pPr>
        <w:pStyle w:val="37"/>
        <w:ind w:firstLine="643"/>
        <w:rPr>
          <w:rFonts w:ascii="Times New Roman" w:hAnsi="Times New Roman"/>
          <w:lang w:eastAsia="zh-CN"/>
        </w:rPr>
      </w:pPr>
      <w:bookmarkStart w:id="107" w:name="_Toc2510"/>
      <w:r>
        <w:rPr>
          <w:rFonts w:ascii="Times New Roman" w:hAnsi="Times New Roman"/>
          <w:lang w:eastAsia="zh-CN"/>
        </w:rPr>
        <w:t>6.1.1核算边界及排放源识别</w:t>
      </w:r>
      <w:bookmarkEnd w:id="107"/>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以本行总部机关及各支行网点、离行设备及丰收驿站等固定/移动设备设施和与自身运营有关的供应链作为核算边界。按照范围划分，其自身运营碳排放维度的排放源包括如下领域。</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222"/>
        <w:gridCol w:w="297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13" w:type="dxa"/>
          </w:tcPr>
          <w:p>
            <w:pPr>
              <w:pStyle w:val="24"/>
              <w:widowControl/>
              <w:jc w:val="center"/>
              <w:rPr>
                <w:rFonts w:eastAsia="仿宋_GB2312" w:cs="Times New Roman"/>
                <w:b/>
              </w:rPr>
            </w:pPr>
          </w:p>
        </w:tc>
        <w:tc>
          <w:tcPr>
            <w:tcW w:w="1222" w:type="dxa"/>
          </w:tcPr>
          <w:p>
            <w:pPr>
              <w:pStyle w:val="24"/>
              <w:widowControl/>
              <w:jc w:val="center"/>
              <w:rPr>
                <w:rFonts w:eastAsia="宋体" w:cs="Times New Roman"/>
                <w:b/>
                <w:color w:val="auto"/>
              </w:rPr>
            </w:pPr>
            <w:r>
              <w:rPr>
                <w:rFonts w:eastAsia="宋体" w:cs="Times New Roman"/>
                <w:b/>
                <w:color w:val="auto"/>
              </w:rPr>
              <w:t>排放类型</w:t>
            </w:r>
          </w:p>
        </w:tc>
        <w:tc>
          <w:tcPr>
            <w:tcW w:w="2976" w:type="dxa"/>
          </w:tcPr>
          <w:p>
            <w:pPr>
              <w:pStyle w:val="24"/>
              <w:widowControl/>
              <w:jc w:val="center"/>
              <w:rPr>
                <w:rFonts w:eastAsia="宋体" w:cs="Times New Roman"/>
                <w:b/>
                <w:color w:val="auto"/>
              </w:rPr>
            </w:pPr>
            <w:r>
              <w:rPr>
                <w:rFonts w:eastAsia="宋体" w:cs="Times New Roman"/>
                <w:b/>
                <w:color w:val="auto"/>
              </w:rPr>
              <w:t>说明</w:t>
            </w:r>
          </w:p>
        </w:tc>
        <w:tc>
          <w:tcPr>
            <w:tcW w:w="3969" w:type="dxa"/>
          </w:tcPr>
          <w:p>
            <w:pPr>
              <w:pStyle w:val="24"/>
              <w:widowControl/>
              <w:jc w:val="center"/>
              <w:rPr>
                <w:rFonts w:eastAsia="宋体" w:cs="Times New Roman"/>
                <w:b/>
                <w:color w:val="auto"/>
              </w:rPr>
            </w:pPr>
            <w:r>
              <w:rPr>
                <w:rFonts w:eastAsia="宋体" w:cs="Times New Roman"/>
                <w:b/>
                <w:color w:val="auto"/>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3" w:type="dxa"/>
            <w:vAlign w:val="center"/>
          </w:tcPr>
          <w:p>
            <w:pPr>
              <w:pStyle w:val="24"/>
              <w:widowControl/>
              <w:jc w:val="center"/>
              <w:rPr>
                <w:rFonts w:eastAsia="宋体" w:cs="Times New Roman"/>
                <w:b/>
                <w:color w:val="auto"/>
              </w:rPr>
            </w:pPr>
            <w:r>
              <w:rPr>
                <w:rFonts w:eastAsia="宋体" w:cs="Times New Roman"/>
                <w:b/>
                <w:color w:val="auto"/>
              </w:rPr>
              <w:t>范围一</w:t>
            </w:r>
          </w:p>
        </w:tc>
        <w:tc>
          <w:tcPr>
            <w:tcW w:w="1222" w:type="dxa"/>
            <w:vAlign w:val="center"/>
          </w:tcPr>
          <w:p>
            <w:pPr>
              <w:pStyle w:val="41"/>
              <w:widowControl/>
              <w:jc w:val="left"/>
              <w:rPr>
                <w:rFonts w:ascii="Times New Roman" w:hAnsi="Times New Roman" w:eastAsia="宋体"/>
                <w:sz w:val="21"/>
                <w:szCs w:val="21"/>
                <w:lang w:val="en-US"/>
              </w:rPr>
            </w:pPr>
            <w:r>
              <w:rPr>
                <w:rFonts w:ascii="Times New Roman" w:hAnsi="Times New Roman" w:eastAsia="宋体"/>
                <w:sz w:val="21"/>
                <w:szCs w:val="21"/>
                <w:lang w:val="en-US"/>
              </w:rPr>
              <w:t>直接排放</w:t>
            </w:r>
          </w:p>
        </w:tc>
        <w:tc>
          <w:tcPr>
            <w:tcW w:w="2976" w:type="dxa"/>
            <w:vAlign w:val="center"/>
          </w:tcPr>
          <w:p>
            <w:pPr>
              <w:pStyle w:val="41"/>
              <w:jc w:val="left"/>
              <w:rPr>
                <w:rFonts w:ascii="Times New Roman" w:hAnsi="Times New Roman" w:eastAsia="宋体"/>
                <w:sz w:val="21"/>
                <w:szCs w:val="21"/>
                <w:lang w:val="en-US"/>
              </w:rPr>
            </w:pPr>
            <w:r>
              <w:rPr>
                <w:rFonts w:ascii="Times New Roman" w:hAnsi="Times New Roman" w:eastAsia="宋体"/>
                <w:sz w:val="21"/>
                <w:szCs w:val="21"/>
                <w:lang w:val="en-US"/>
              </w:rPr>
              <w:t>金融机构自身所拥有或直接控制的，固定和移动燃烧设备中发生氧化燃烧过程产生的温室气体排放。</w:t>
            </w:r>
          </w:p>
        </w:tc>
        <w:tc>
          <w:tcPr>
            <w:tcW w:w="3969" w:type="dxa"/>
            <w:vAlign w:val="center"/>
          </w:tcPr>
          <w:p>
            <w:pPr>
              <w:pStyle w:val="41"/>
              <w:jc w:val="left"/>
              <w:rPr>
                <w:rFonts w:ascii="Times New Roman" w:hAnsi="Times New Roman" w:eastAsia="宋体"/>
                <w:sz w:val="21"/>
                <w:szCs w:val="21"/>
                <w:lang w:val="en-US"/>
              </w:rPr>
            </w:pP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1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①</w:t>
            </w:r>
            <w:r>
              <w:rPr>
                <w:rFonts w:ascii="Times New Roman" w:hAnsi="Times New Roman" w:eastAsia="宋体"/>
                <w:sz w:val="21"/>
                <w:szCs w:val="21"/>
                <w:lang w:val="en-US"/>
              </w:rPr>
              <w:fldChar w:fldCharType="end"/>
            </w:r>
            <w:r>
              <w:rPr>
                <w:rFonts w:ascii="Times New Roman" w:hAnsi="Times New Roman" w:eastAsia="宋体"/>
                <w:sz w:val="21"/>
                <w:szCs w:val="21"/>
                <w:lang w:val="en-US"/>
              </w:rPr>
              <w:t>发电机组消耗的柴油；</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2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②</w:t>
            </w:r>
            <w:r>
              <w:rPr>
                <w:rFonts w:ascii="Times New Roman" w:hAnsi="Times New Roman" w:eastAsia="宋体"/>
                <w:sz w:val="21"/>
                <w:szCs w:val="21"/>
                <w:lang w:val="en-US"/>
              </w:rPr>
              <w:fldChar w:fldCharType="end"/>
            </w:r>
            <w:r>
              <w:rPr>
                <w:rFonts w:ascii="Times New Roman" w:hAnsi="Times New Roman" w:eastAsia="宋体"/>
                <w:sz w:val="21"/>
                <w:szCs w:val="21"/>
                <w:lang w:val="en-US"/>
              </w:rPr>
              <w:t>食堂消耗的天然气、液化石油气；</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3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③</w:t>
            </w:r>
            <w:r>
              <w:rPr>
                <w:rFonts w:ascii="Times New Roman" w:hAnsi="Times New Roman" w:eastAsia="宋体"/>
                <w:sz w:val="21"/>
                <w:szCs w:val="21"/>
                <w:lang w:val="en-US"/>
              </w:rPr>
              <w:fldChar w:fldCharType="end"/>
            </w:r>
            <w:r>
              <w:rPr>
                <w:rFonts w:ascii="Times New Roman" w:hAnsi="Times New Roman" w:eastAsia="宋体"/>
                <w:sz w:val="21"/>
                <w:szCs w:val="21"/>
                <w:lang w:val="en-US"/>
              </w:rPr>
              <w:t>公务用车消耗的汽油、柴油等。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13" w:type="dxa"/>
            <w:vAlign w:val="center"/>
          </w:tcPr>
          <w:p>
            <w:pPr>
              <w:pStyle w:val="24"/>
              <w:widowControl/>
              <w:jc w:val="center"/>
              <w:rPr>
                <w:rFonts w:eastAsia="宋体" w:cs="Times New Roman"/>
                <w:b/>
                <w:color w:val="auto"/>
              </w:rPr>
            </w:pPr>
            <w:r>
              <w:rPr>
                <w:rFonts w:eastAsia="宋体" w:cs="Times New Roman"/>
                <w:b/>
                <w:color w:val="auto"/>
              </w:rPr>
              <w:t>范围二</w:t>
            </w:r>
          </w:p>
        </w:tc>
        <w:tc>
          <w:tcPr>
            <w:tcW w:w="1222" w:type="dxa"/>
            <w:vAlign w:val="center"/>
          </w:tcPr>
          <w:p>
            <w:pPr>
              <w:pStyle w:val="41"/>
              <w:widowControl/>
              <w:jc w:val="left"/>
              <w:rPr>
                <w:rFonts w:ascii="Times New Roman" w:hAnsi="Times New Roman" w:eastAsia="宋体"/>
                <w:sz w:val="21"/>
                <w:szCs w:val="21"/>
                <w:lang w:val="en-US"/>
              </w:rPr>
            </w:pPr>
            <w:r>
              <w:rPr>
                <w:rFonts w:ascii="Times New Roman" w:hAnsi="Times New Roman" w:eastAsia="宋体"/>
                <w:sz w:val="21"/>
                <w:szCs w:val="21"/>
                <w:lang w:val="en-US"/>
              </w:rPr>
              <w:t>与能源相关的间接排放</w:t>
            </w:r>
          </w:p>
        </w:tc>
        <w:tc>
          <w:tcPr>
            <w:tcW w:w="2976" w:type="dxa"/>
            <w:vAlign w:val="center"/>
          </w:tcPr>
          <w:p>
            <w:pPr>
              <w:pStyle w:val="41"/>
              <w:jc w:val="left"/>
              <w:rPr>
                <w:rFonts w:ascii="Times New Roman" w:hAnsi="Times New Roman" w:eastAsia="宋体"/>
                <w:sz w:val="21"/>
                <w:szCs w:val="21"/>
                <w:lang w:val="en-US"/>
              </w:rPr>
            </w:pPr>
            <w:r>
              <w:rPr>
                <w:rFonts w:ascii="Times New Roman" w:hAnsi="Times New Roman" w:eastAsia="宋体"/>
                <w:sz w:val="21"/>
                <w:szCs w:val="21"/>
                <w:lang w:val="en-US"/>
              </w:rPr>
              <w:t>金融机构自身消耗外购电力产生的二氧化碳排放。</w:t>
            </w:r>
          </w:p>
        </w:tc>
        <w:tc>
          <w:tcPr>
            <w:tcW w:w="3969" w:type="dxa"/>
            <w:vAlign w:val="center"/>
          </w:tcPr>
          <w:p>
            <w:pPr>
              <w:pStyle w:val="41"/>
              <w:jc w:val="left"/>
              <w:rPr>
                <w:rFonts w:ascii="Times New Roman" w:hAnsi="Times New Roman" w:eastAsia="宋体"/>
                <w:sz w:val="21"/>
                <w:szCs w:val="21"/>
                <w:lang w:val="en-US"/>
              </w:rPr>
            </w:pP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1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①</w:t>
            </w:r>
            <w:r>
              <w:rPr>
                <w:rFonts w:ascii="Times New Roman" w:hAnsi="Times New Roman" w:eastAsia="宋体"/>
                <w:sz w:val="21"/>
                <w:szCs w:val="21"/>
                <w:lang w:val="en-US"/>
              </w:rPr>
              <w:fldChar w:fldCharType="end"/>
            </w:r>
            <w:r>
              <w:rPr>
                <w:rFonts w:ascii="Times New Roman" w:hAnsi="Times New Roman" w:eastAsia="宋体"/>
                <w:sz w:val="21"/>
                <w:szCs w:val="21"/>
                <w:lang w:val="en-US"/>
              </w:rPr>
              <w:t>公共机构照明、空调（新风）、电梯、办公设备、公务用车等消耗的电力；</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2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②</w:t>
            </w:r>
            <w:r>
              <w:rPr>
                <w:rFonts w:ascii="Times New Roman" w:hAnsi="Times New Roman" w:eastAsia="宋体"/>
                <w:sz w:val="21"/>
                <w:szCs w:val="21"/>
                <w:lang w:val="en-US"/>
              </w:rPr>
              <w:fldChar w:fldCharType="end"/>
            </w:r>
            <w:r>
              <w:rPr>
                <w:rFonts w:ascii="Times New Roman" w:hAnsi="Times New Roman" w:eastAsia="宋体"/>
                <w:sz w:val="21"/>
                <w:szCs w:val="21"/>
                <w:lang w:val="en-US"/>
              </w:rPr>
              <w:t>离行式ATM配套；</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3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③</w:t>
            </w:r>
            <w:r>
              <w:rPr>
                <w:rFonts w:ascii="Times New Roman" w:hAnsi="Times New Roman" w:eastAsia="宋体"/>
                <w:sz w:val="21"/>
                <w:szCs w:val="21"/>
                <w:lang w:val="en-US"/>
              </w:rPr>
              <w:fldChar w:fldCharType="end"/>
            </w:r>
            <w:r>
              <w:rPr>
                <w:rFonts w:ascii="Times New Roman" w:hAnsi="Times New Roman" w:eastAsia="宋体"/>
                <w:sz w:val="21"/>
                <w:szCs w:val="21"/>
                <w:lang w:val="en-US"/>
              </w:rPr>
              <w:t>助农终端等。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013" w:type="dxa"/>
            <w:vAlign w:val="center"/>
          </w:tcPr>
          <w:p>
            <w:pPr>
              <w:pStyle w:val="24"/>
              <w:widowControl/>
              <w:jc w:val="center"/>
              <w:rPr>
                <w:rFonts w:eastAsia="仿宋_GB2312" w:cs="Times New Roman"/>
                <w:b/>
                <w:color w:val="auto"/>
                <w:sz w:val="24"/>
                <w:szCs w:val="24"/>
                <w:lang w:val="zh-TW"/>
              </w:rPr>
            </w:pPr>
            <w:r>
              <w:rPr>
                <w:rFonts w:eastAsia="宋体" w:cs="Times New Roman"/>
                <w:b/>
                <w:color w:val="auto"/>
              </w:rPr>
              <w:t>范围三</w:t>
            </w:r>
          </w:p>
        </w:tc>
        <w:tc>
          <w:tcPr>
            <w:tcW w:w="1222" w:type="dxa"/>
            <w:vAlign w:val="center"/>
          </w:tcPr>
          <w:p>
            <w:pPr>
              <w:pStyle w:val="41"/>
              <w:widowControl/>
              <w:jc w:val="left"/>
              <w:rPr>
                <w:rFonts w:ascii="Times New Roman" w:hAnsi="Times New Roman" w:eastAsia="宋体"/>
                <w:sz w:val="21"/>
                <w:szCs w:val="21"/>
                <w:lang w:val="en-US"/>
              </w:rPr>
            </w:pPr>
            <w:r>
              <w:rPr>
                <w:rFonts w:ascii="Times New Roman" w:hAnsi="Times New Roman" w:eastAsia="宋体"/>
                <w:sz w:val="21"/>
                <w:szCs w:val="21"/>
                <w:lang w:val="en-US"/>
              </w:rPr>
              <w:t>其他供应链端所产生的间接排放</w:t>
            </w:r>
          </w:p>
        </w:tc>
        <w:tc>
          <w:tcPr>
            <w:tcW w:w="2976" w:type="dxa"/>
            <w:vAlign w:val="center"/>
          </w:tcPr>
          <w:p>
            <w:pPr>
              <w:pStyle w:val="41"/>
              <w:jc w:val="left"/>
              <w:rPr>
                <w:rFonts w:ascii="Times New Roman" w:hAnsi="Times New Roman" w:eastAsia="宋体"/>
                <w:sz w:val="21"/>
                <w:szCs w:val="21"/>
                <w:lang w:val="en-US"/>
              </w:rPr>
            </w:pPr>
            <w:r>
              <w:rPr>
                <w:rFonts w:ascii="Times New Roman" w:hAnsi="Times New Roman" w:eastAsia="宋体"/>
                <w:sz w:val="21"/>
                <w:szCs w:val="21"/>
                <w:lang w:val="en-US"/>
              </w:rPr>
              <w:t>金融机构自身运营相关的供应链所产生的间接排放。</w:t>
            </w:r>
          </w:p>
        </w:tc>
        <w:tc>
          <w:tcPr>
            <w:tcW w:w="3969" w:type="dxa"/>
            <w:vAlign w:val="center"/>
          </w:tcPr>
          <w:p>
            <w:pPr>
              <w:pStyle w:val="41"/>
              <w:jc w:val="left"/>
              <w:rPr>
                <w:rFonts w:ascii="Times New Roman" w:hAnsi="Times New Roman" w:eastAsia="宋体"/>
                <w:sz w:val="21"/>
                <w:szCs w:val="21"/>
                <w:lang w:val="en-US"/>
              </w:rPr>
            </w:pP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1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①</w:t>
            </w:r>
            <w:r>
              <w:rPr>
                <w:rFonts w:ascii="Times New Roman" w:hAnsi="Times New Roman" w:eastAsia="宋体"/>
                <w:sz w:val="21"/>
                <w:szCs w:val="21"/>
                <w:lang w:val="en-US"/>
              </w:rPr>
              <w:fldChar w:fldCharType="end"/>
            </w:r>
            <w:r>
              <w:rPr>
                <w:rFonts w:ascii="Times New Roman" w:hAnsi="Times New Roman" w:eastAsia="宋体"/>
                <w:sz w:val="21"/>
                <w:szCs w:val="21"/>
                <w:lang w:val="en-US"/>
              </w:rPr>
              <w:t>押解车辆外包运输消耗的汽油、柴油；</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2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②</w:t>
            </w:r>
            <w:r>
              <w:rPr>
                <w:rFonts w:ascii="Times New Roman" w:hAnsi="Times New Roman" w:eastAsia="宋体"/>
                <w:sz w:val="21"/>
                <w:szCs w:val="21"/>
                <w:lang w:val="en-US"/>
              </w:rPr>
              <w:fldChar w:fldCharType="end"/>
            </w:r>
            <w:r>
              <w:rPr>
                <w:rFonts w:ascii="Times New Roman" w:hAnsi="Times New Roman" w:eastAsia="宋体"/>
                <w:sz w:val="21"/>
                <w:szCs w:val="21"/>
                <w:lang w:val="en-US"/>
              </w:rPr>
              <w:t>垃圾分类处理产生的排放；</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3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③</w:t>
            </w:r>
            <w:r>
              <w:rPr>
                <w:rFonts w:ascii="Times New Roman" w:hAnsi="Times New Roman" w:eastAsia="宋体"/>
                <w:sz w:val="21"/>
                <w:szCs w:val="21"/>
                <w:lang w:val="en-US"/>
              </w:rPr>
              <w:fldChar w:fldCharType="end"/>
            </w:r>
            <w:r>
              <w:rPr>
                <w:rFonts w:ascii="Times New Roman" w:hAnsi="Times New Roman" w:eastAsia="宋体"/>
                <w:sz w:val="21"/>
                <w:szCs w:val="21"/>
                <w:lang w:val="en-US"/>
              </w:rPr>
              <w:t>日常办公消耗纸张；</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4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④</w:t>
            </w:r>
            <w:r>
              <w:rPr>
                <w:rFonts w:ascii="Times New Roman" w:hAnsi="Times New Roman" w:eastAsia="宋体"/>
                <w:sz w:val="21"/>
                <w:szCs w:val="21"/>
                <w:lang w:val="en-US"/>
              </w:rPr>
              <w:fldChar w:fldCharType="end"/>
            </w:r>
            <w:r>
              <w:rPr>
                <w:rFonts w:ascii="Times New Roman" w:hAnsi="Times New Roman" w:eastAsia="宋体"/>
                <w:sz w:val="21"/>
                <w:szCs w:val="21"/>
                <w:lang w:val="en-US"/>
              </w:rPr>
              <w:t>员工商务差旅涉及的交通出行产生的排放；</w:t>
            </w:r>
            <w:r>
              <w:rPr>
                <w:rFonts w:ascii="Times New Roman" w:hAnsi="Times New Roman" w:eastAsia="宋体"/>
                <w:sz w:val="21"/>
                <w:szCs w:val="21"/>
                <w:lang w:val="en-US"/>
              </w:rPr>
              <w:fldChar w:fldCharType="begin"/>
            </w:r>
            <w:r>
              <w:rPr>
                <w:rFonts w:ascii="Times New Roman" w:hAnsi="Times New Roman" w:eastAsia="宋体"/>
                <w:sz w:val="21"/>
                <w:szCs w:val="21"/>
                <w:lang w:val="en-US"/>
              </w:rPr>
              <w:instrText xml:space="preserve"> = 5 \* GB3 </w:instrText>
            </w:r>
            <w:r>
              <w:rPr>
                <w:rFonts w:ascii="Times New Roman" w:hAnsi="Times New Roman" w:eastAsia="宋体"/>
                <w:sz w:val="21"/>
                <w:szCs w:val="21"/>
                <w:lang w:val="en-US"/>
              </w:rPr>
              <w:fldChar w:fldCharType="separate"/>
            </w:r>
            <w:r>
              <w:rPr>
                <w:rFonts w:ascii="Times New Roman" w:hAnsi="Times New Roman" w:eastAsia="宋体"/>
                <w:sz w:val="21"/>
                <w:szCs w:val="21"/>
                <w:lang w:val="en-US"/>
              </w:rPr>
              <w:t>⑤</w:t>
            </w:r>
            <w:r>
              <w:rPr>
                <w:rFonts w:ascii="Times New Roman" w:hAnsi="Times New Roman" w:eastAsia="宋体"/>
                <w:sz w:val="21"/>
                <w:szCs w:val="21"/>
                <w:lang w:val="en-US"/>
              </w:rPr>
              <w:fldChar w:fldCharType="end"/>
            </w:r>
            <w:r>
              <w:rPr>
                <w:rFonts w:ascii="Times New Roman" w:hAnsi="Times New Roman" w:eastAsia="宋体"/>
                <w:sz w:val="21"/>
                <w:szCs w:val="21"/>
                <w:lang w:val="en-US"/>
              </w:rPr>
              <w:t>员工通勤消耗的汽油、柴油等。</w:t>
            </w:r>
          </w:p>
        </w:tc>
      </w:tr>
    </w:tbl>
    <w:p>
      <w:pPr>
        <w:pStyle w:val="37"/>
        <w:spacing w:before="240"/>
        <w:ind w:firstLine="643"/>
        <w:rPr>
          <w:rFonts w:ascii="Times New Roman" w:hAnsi="Times New Roman"/>
          <w:lang w:eastAsia="zh-CN"/>
        </w:rPr>
      </w:pPr>
      <w:bookmarkStart w:id="108" w:name="_Toc4936"/>
      <w:r>
        <w:rPr>
          <w:rFonts w:ascii="Times New Roman" w:hAnsi="Times New Roman"/>
          <w:lang w:eastAsia="zh-CN"/>
        </w:rPr>
        <w:t>6.1.2温室气体排放总量及构成</w:t>
      </w:r>
      <w:bookmarkEnd w:id="108"/>
    </w:p>
    <w:p>
      <w:pPr>
        <w:spacing w:line="560" w:lineRule="exact"/>
        <w:ind w:firstLine="640" w:firstLineChars="200"/>
        <w:rPr>
          <w:rFonts w:eastAsia="仿宋_GB2312"/>
          <w:color w:val="000000"/>
          <w:sz w:val="32"/>
          <w:szCs w:val="32"/>
          <w:u w:color="000000"/>
          <w:lang w:val="zh-TW"/>
        </w:rPr>
      </w:pPr>
      <w:r>
        <w:rPr>
          <w:rFonts w:eastAsia="仿宋_GB2312"/>
          <w:sz w:val="32"/>
          <w:szCs w:val="32"/>
          <w:u w:color="000000"/>
          <w:lang w:val="zh-TW"/>
        </w:rPr>
        <w:t>在排放源识别的基础上，本行核算并报告了各核算单元的温室气体排放总量。经统计，</w:t>
      </w:r>
      <w:r>
        <w:rPr>
          <w:rFonts w:hint="eastAsia" w:eastAsia="仿宋_GB2312"/>
          <w:color w:val="000000"/>
          <w:sz w:val="32"/>
          <w:szCs w:val="32"/>
          <w:u w:color="000000"/>
          <w:lang w:val="zh-TW"/>
        </w:rPr>
        <w:t>本行</w:t>
      </w:r>
      <w:r>
        <w:rPr>
          <w:rFonts w:hint="eastAsia" w:eastAsia="仿宋_GB2312"/>
          <w:color w:val="000000"/>
          <w:sz w:val="32"/>
          <w:szCs w:val="32"/>
          <w:u w:color="000000"/>
        </w:rPr>
        <w:t>2022</w:t>
      </w:r>
      <w:r>
        <w:rPr>
          <w:rFonts w:hint="eastAsia" w:eastAsia="仿宋_GB2312"/>
          <w:color w:val="000000"/>
          <w:sz w:val="32"/>
          <w:szCs w:val="32"/>
          <w:u w:color="000000"/>
          <w:lang w:val="zh-TW"/>
        </w:rPr>
        <w:t>年度自身运营温室气体排放总量为</w:t>
      </w:r>
      <w:r>
        <w:rPr>
          <w:rFonts w:hint="eastAsia" w:eastAsia="仿宋_GB2312"/>
          <w:color w:val="000000"/>
          <w:sz w:val="32"/>
          <w:szCs w:val="32"/>
          <w:u w:color="000000"/>
        </w:rPr>
        <w:t>5899.02</w:t>
      </w:r>
      <w:r>
        <w:rPr>
          <w:rFonts w:hint="eastAsia" w:eastAsia="仿宋_GB2312"/>
          <w:color w:val="000000"/>
          <w:sz w:val="32"/>
          <w:szCs w:val="32"/>
          <w:u w:color="000000"/>
          <w:lang w:val="zh-TW"/>
        </w:rPr>
        <w:t>吨二氧化碳当量。按照当年员工总人数7</w:t>
      </w:r>
      <w:r>
        <w:rPr>
          <w:rFonts w:hint="eastAsia" w:eastAsia="仿宋_GB2312"/>
          <w:color w:val="000000"/>
          <w:sz w:val="32"/>
          <w:szCs w:val="32"/>
          <w:u w:color="000000"/>
        </w:rPr>
        <w:t>05</w:t>
      </w:r>
      <w:r>
        <w:rPr>
          <w:rFonts w:hint="eastAsia" w:eastAsia="仿宋_GB2312"/>
          <w:color w:val="000000"/>
          <w:sz w:val="32"/>
          <w:szCs w:val="32"/>
          <w:u w:color="000000"/>
          <w:lang w:val="zh-TW"/>
        </w:rPr>
        <w:t>计算，人均温室气体排放</w:t>
      </w:r>
      <w:r>
        <w:rPr>
          <w:rFonts w:hint="eastAsia" w:eastAsia="仿宋_GB2312"/>
          <w:color w:val="000000"/>
          <w:sz w:val="32"/>
          <w:szCs w:val="32"/>
          <w:u w:color="000000"/>
        </w:rPr>
        <w:t>8.37</w:t>
      </w:r>
      <w:r>
        <w:rPr>
          <w:rFonts w:hint="eastAsia" w:eastAsia="仿宋_GB2312"/>
          <w:color w:val="000000"/>
          <w:sz w:val="32"/>
          <w:szCs w:val="32"/>
          <w:u w:color="000000"/>
          <w:lang w:val="zh-TW"/>
        </w:rPr>
        <w:t>吨二氧化碳当量，202</w:t>
      </w:r>
      <w:r>
        <w:rPr>
          <w:rFonts w:hint="eastAsia" w:eastAsia="仿宋_GB2312"/>
          <w:color w:val="000000"/>
          <w:sz w:val="32"/>
          <w:szCs w:val="32"/>
          <w:u w:color="000000"/>
        </w:rPr>
        <w:t>2</w:t>
      </w:r>
      <w:r>
        <w:rPr>
          <w:rFonts w:hint="eastAsia" w:eastAsia="仿宋_GB2312"/>
          <w:color w:val="000000"/>
          <w:sz w:val="32"/>
          <w:szCs w:val="32"/>
          <w:u w:color="000000"/>
          <w:lang w:val="zh-TW"/>
        </w:rPr>
        <w:t>年度已实施的屋顶光伏发电项目发电总量为130.655兆瓦时，其中自发自用余电上网61.37兆瓦时，总计相当于减少68.54吨二氧化碳排放。</w:t>
      </w:r>
    </w:p>
    <w:p>
      <w:pPr>
        <w:spacing w:line="560" w:lineRule="exact"/>
        <w:ind w:firstLine="640" w:firstLineChars="200"/>
        <w:rPr>
          <w:rFonts w:eastAsia="仿宋_GB2312"/>
          <w:sz w:val="32"/>
          <w:szCs w:val="32"/>
          <w:u w:color="000000"/>
          <w:lang w:val="zh-TW"/>
        </w:rPr>
      </w:pPr>
      <w:r>
        <w:rPr>
          <w:rFonts w:hint="eastAsia" w:eastAsia="仿宋_GB2312"/>
          <w:color w:val="000000"/>
          <w:sz w:val="32"/>
          <w:szCs w:val="32"/>
          <w:u w:color="000000"/>
          <w:lang w:val="zh-TW"/>
        </w:rPr>
        <w:t>按照范围分析，本行202</w:t>
      </w:r>
      <w:r>
        <w:rPr>
          <w:rFonts w:hint="eastAsia" w:eastAsia="仿宋_GB2312"/>
          <w:color w:val="000000"/>
          <w:sz w:val="32"/>
          <w:szCs w:val="32"/>
          <w:u w:color="000000"/>
        </w:rPr>
        <w:t>2</w:t>
      </w:r>
      <w:r>
        <w:rPr>
          <w:rFonts w:hint="eastAsia" w:eastAsia="仿宋_GB2312"/>
          <w:color w:val="000000"/>
          <w:sz w:val="32"/>
          <w:szCs w:val="32"/>
          <w:u w:color="000000"/>
          <w:lang w:val="zh-TW"/>
        </w:rPr>
        <w:t>年</w:t>
      </w:r>
      <w:r>
        <w:rPr>
          <w:rFonts w:eastAsia="仿宋_GB2312"/>
          <w:sz w:val="32"/>
          <w:szCs w:val="32"/>
          <w:u w:color="000000"/>
          <w:lang w:val="zh-TW"/>
        </w:rPr>
        <w:t>度自身运营温室气体排放总量构成如下：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60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425" w:type="dxa"/>
            <w:shd w:val="clear" w:color="auto" w:fill="F2F2F2"/>
            <w:vAlign w:val="center"/>
          </w:tcPr>
          <w:p>
            <w:pPr>
              <w:widowControl/>
              <w:jc w:val="center"/>
              <w:rPr>
                <w:b/>
                <w:kern w:val="0"/>
                <w:szCs w:val="21"/>
              </w:rPr>
            </w:pPr>
            <w:r>
              <w:rPr>
                <w:b/>
                <w:kern w:val="0"/>
                <w:szCs w:val="21"/>
              </w:rPr>
              <w:t>范围</w:t>
            </w:r>
          </w:p>
        </w:tc>
        <w:tc>
          <w:tcPr>
            <w:tcW w:w="2605" w:type="dxa"/>
            <w:shd w:val="clear" w:color="auto" w:fill="F2F2F2"/>
            <w:vAlign w:val="center"/>
          </w:tcPr>
          <w:p>
            <w:pPr>
              <w:widowControl/>
              <w:spacing w:line="600" w:lineRule="exact"/>
              <w:jc w:val="center"/>
              <w:rPr>
                <w:b/>
                <w:kern w:val="0"/>
                <w:szCs w:val="21"/>
              </w:rPr>
            </w:pPr>
            <w:r>
              <w:rPr>
                <w:b/>
                <w:kern w:val="0"/>
                <w:szCs w:val="21"/>
              </w:rPr>
              <w:t>排放量</w:t>
            </w:r>
            <w:r>
              <w:rPr>
                <w:kern w:val="0"/>
                <w:szCs w:val="21"/>
                <w:lang w:eastAsia="zh-Hans"/>
              </w:rPr>
              <w:t>（</w:t>
            </w:r>
            <w:r>
              <w:rPr>
                <w:szCs w:val="21"/>
              </w:rPr>
              <w:t>tCO</w:t>
            </w:r>
            <w:r>
              <w:rPr>
                <w:szCs w:val="21"/>
                <w:vertAlign w:val="subscript"/>
              </w:rPr>
              <w:t>2</w:t>
            </w:r>
            <w:r>
              <w:rPr>
                <w:szCs w:val="21"/>
              </w:rPr>
              <w:t>e</w:t>
            </w:r>
            <w:r>
              <w:rPr>
                <w:szCs w:val="21"/>
                <w:lang w:eastAsia="zh-Hans"/>
              </w:rPr>
              <w:t>）</w:t>
            </w:r>
          </w:p>
        </w:tc>
        <w:tc>
          <w:tcPr>
            <w:tcW w:w="2348" w:type="dxa"/>
            <w:shd w:val="clear" w:color="auto" w:fill="F2F2F2"/>
            <w:vAlign w:val="center"/>
          </w:tcPr>
          <w:p>
            <w:pPr>
              <w:widowControl/>
              <w:spacing w:line="600" w:lineRule="exact"/>
              <w:jc w:val="center"/>
              <w:rPr>
                <w:b/>
                <w:kern w:val="0"/>
                <w:szCs w:val="21"/>
              </w:rPr>
            </w:pPr>
            <w:r>
              <w:rPr>
                <w:b/>
                <w:kern w:val="0"/>
                <w:szCs w:val="21"/>
              </w:rPr>
              <w:t>占比</w:t>
            </w:r>
            <w:r>
              <w:rPr>
                <w:b/>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425" w:type="dxa"/>
          </w:tcPr>
          <w:p>
            <w:pPr>
              <w:spacing w:before="156" w:beforeLines="50" w:line="461" w:lineRule="auto"/>
              <w:jc w:val="center"/>
              <w:rPr>
                <w:b/>
                <w:szCs w:val="21"/>
              </w:rPr>
            </w:pPr>
            <w:r>
              <w:rPr>
                <w:b/>
                <w:szCs w:val="21"/>
              </w:rPr>
              <w:t>范围1排放</w:t>
            </w:r>
          </w:p>
        </w:tc>
        <w:tc>
          <w:tcPr>
            <w:tcW w:w="2605" w:type="dxa"/>
            <w:vAlign w:val="center"/>
          </w:tcPr>
          <w:p>
            <w:pPr>
              <w:spacing w:before="156" w:beforeLines="50" w:line="600" w:lineRule="exact"/>
              <w:jc w:val="center"/>
              <w:rPr>
                <w:szCs w:val="21"/>
              </w:rPr>
            </w:pPr>
            <w:r>
              <w:rPr>
                <w:szCs w:val="21"/>
              </w:rPr>
              <w:t>82.37</w:t>
            </w:r>
          </w:p>
        </w:tc>
        <w:tc>
          <w:tcPr>
            <w:tcW w:w="2348" w:type="dxa"/>
            <w:vAlign w:val="center"/>
          </w:tcPr>
          <w:p>
            <w:pPr>
              <w:spacing w:before="156" w:beforeLines="50" w:line="600" w:lineRule="exact"/>
              <w:jc w:val="center"/>
              <w:rPr>
                <w:szCs w:val="21"/>
              </w:rPr>
            </w:pPr>
            <w:r>
              <w:rPr>
                <w:rFonts w:hint="eastAsia"/>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25" w:type="dxa"/>
          </w:tcPr>
          <w:p>
            <w:pPr>
              <w:spacing w:before="156" w:beforeLines="50" w:line="461" w:lineRule="auto"/>
              <w:jc w:val="center"/>
              <w:rPr>
                <w:b/>
                <w:szCs w:val="21"/>
              </w:rPr>
            </w:pPr>
            <w:r>
              <w:rPr>
                <w:b/>
                <w:szCs w:val="21"/>
              </w:rPr>
              <w:t>范围2排放</w:t>
            </w:r>
          </w:p>
        </w:tc>
        <w:tc>
          <w:tcPr>
            <w:tcW w:w="2605" w:type="dxa"/>
            <w:vAlign w:val="center"/>
          </w:tcPr>
          <w:p>
            <w:pPr>
              <w:spacing w:before="156" w:beforeLines="50" w:line="600" w:lineRule="exact"/>
              <w:jc w:val="center"/>
              <w:rPr>
                <w:szCs w:val="21"/>
              </w:rPr>
            </w:pPr>
            <w:r>
              <w:rPr>
                <w:szCs w:val="21"/>
              </w:rPr>
              <w:t>3,086.63</w:t>
            </w:r>
          </w:p>
        </w:tc>
        <w:tc>
          <w:tcPr>
            <w:tcW w:w="2348" w:type="dxa"/>
            <w:vAlign w:val="center"/>
          </w:tcPr>
          <w:p>
            <w:pPr>
              <w:spacing w:before="156" w:beforeLines="50" w:line="600" w:lineRule="exact"/>
              <w:jc w:val="center"/>
              <w:rPr>
                <w:szCs w:val="21"/>
              </w:rPr>
            </w:pPr>
            <w:r>
              <w:rPr>
                <w:rFonts w:hint="eastAsia"/>
                <w:szCs w:val="21"/>
              </w:rPr>
              <w:t>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5" w:type="dxa"/>
          </w:tcPr>
          <w:p>
            <w:pPr>
              <w:spacing w:before="156" w:beforeLines="50" w:line="461" w:lineRule="auto"/>
              <w:jc w:val="center"/>
              <w:rPr>
                <w:b/>
                <w:szCs w:val="21"/>
              </w:rPr>
            </w:pPr>
            <w:r>
              <w:rPr>
                <w:b/>
                <w:szCs w:val="21"/>
              </w:rPr>
              <w:t>范围3排放</w:t>
            </w:r>
          </w:p>
        </w:tc>
        <w:tc>
          <w:tcPr>
            <w:tcW w:w="2605" w:type="dxa"/>
            <w:vAlign w:val="center"/>
          </w:tcPr>
          <w:p>
            <w:pPr>
              <w:spacing w:before="156" w:beforeLines="50" w:line="600" w:lineRule="exact"/>
              <w:jc w:val="center"/>
              <w:rPr>
                <w:szCs w:val="21"/>
              </w:rPr>
            </w:pPr>
            <w:r>
              <w:rPr>
                <w:szCs w:val="21"/>
              </w:rPr>
              <w:t>2,730.02</w:t>
            </w:r>
          </w:p>
        </w:tc>
        <w:tc>
          <w:tcPr>
            <w:tcW w:w="2348" w:type="dxa"/>
            <w:vAlign w:val="center"/>
          </w:tcPr>
          <w:p>
            <w:pPr>
              <w:spacing w:before="156" w:beforeLines="50" w:line="600" w:lineRule="exact"/>
              <w:jc w:val="center"/>
              <w:rPr>
                <w:szCs w:val="21"/>
              </w:rPr>
            </w:pPr>
            <w:r>
              <w:rPr>
                <w:rFonts w:hint="eastAsia"/>
                <w:szCs w:val="21"/>
              </w:rPr>
              <w:t>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5" w:type="dxa"/>
          </w:tcPr>
          <w:p>
            <w:pPr>
              <w:spacing w:before="156" w:beforeLines="50" w:line="461" w:lineRule="auto"/>
              <w:jc w:val="center"/>
              <w:rPr>
                <w:b/>
                <w:szCs w:val="21"/>
              </w:rPr>
            </w:pPr>
            <w:r>
              <w:rPr>
                <w:b/>
                <w:szCs w:val="21"/>
              </w:rPr>
              <w:t>总计</w:t>
            </w:r>
          </w:p>
        </w:tc>
        <w:tc>
          <w:tcPr>
            <w:tcW w:w="2605" w:type="dxa"/>
            <w:vAlign w:val="bottom"/>
          </w:tcPr>
          <w:p>
            <w:pPr>
              <w:spacing w:before="156" w:beforeLines="50" w:line="600" w:lineRule="exact"/>
              <w:jc w:val="center"/>
              <w:rPr>
                <w:rFonts w:eastAsia="等线"/>
                <w:b/>
                <w:color w:val="000000"/>
                <w:szCs w:val="21"/>
              </w:rPr>
            </w:pPr>
            <w:r>
              <w:rPr>
                <w:rFonts w:eastAsia="等线"/>
                <w:b/>
                <w:color w:val="000000"/>
                <w:szCs w:val="21"/>
              </w:rPr>
              <w:t>5,899.02</w:t>
            </w:r>
          </w:p>
        </w:tc>
        <w:tc>
          <w:tcPr>
            <w:tcW w:w="2348" w:type="dxa"/>
          </w:tcPr>
          <w:p>
            <w:pPr>
              <w:spacing w:before="156" w:beforeLines="50" w:line="600" w:lineRule="exact"/>
              <w:jc w:val="center"/>
              <w:rPr>
                <w:b/>
                <w:szCs w:val="21"/>
              </w:rPr>
            </w:pPr>
            <w:r>
              <w:rPr>
                <w:b/>
                <w:szCs w:val="21"/>
              </w:rPr>
              <w:t>100</w:t>
            </w:r>
          </w:p>
        </w:tc>
      </w:tr>
    </w:tbl>
    <w:p>
      <w:pPr>
        <w:spacing w:before="156" w:beforeLines="50" w:line="461" w:lineRule="auto"/>
      </w:pPr>
    </w:p>
    <w:p>
      <w:pPr>
        <w:pStyle w:val="2"/>
        <w:ind w:left="0" w:leftChars="0" w:firstLine="0" w:firstLineChars="0"/>
        <w:jc w:val="center"/>
      </w:pPr>
      <w:r>
        <w:drawing>
          <wp:inline distT="0" distB="0" distL="0" distR="0">
            <wp:extent cx="4380230" cy="2880995"/>
            <wp:effectExtent l="5080" t="4445" r="19050" b="101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b/>
        </w:rPr>
      </w:pPr>
      <w:r>
        <w:rPr>
          <w:rFonts w:hint="eastAsia"/>
          <w:b/>
        </w:rPr>
        <w:t>图6-1-1</w:t>
      </w:r>
      <w:r>
        <w:rPr>
          <w:rFonts w:hint="eastAsia"/>
          <w:b/>
          <w:lang w:eastAsia="zh-CN"/>
        </w:rPr>
        <w:t>安吉农商银行</w:t>
      </w:r>
      <w:r>
        <w:rPr>
          <w:rFonts w:hint="eastAsia"/>
          <w:b/>
        </w:rPr>
        <w:t>2022年度自身运营温室气体排放总量构成图</w:t>
      </w:r>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按照温室气体种类分析，二氧化碳排放为5,878.00吨二氧化碳当量，占比99.9%以上</w:t>
      </w:r>
      <w:r>
        <w:rPr>
          <w:rFonts w:hint="eastAsia" w:eastAsia="仿宋_GB2312"/>
          <w:sz w:val="32"/>
          <w:szCs w:val="32"/>
          <w:u w:color="000000"/>
          <w:lang w:val="zh-TW" w:eastAsia="zh-CN"/>
        </w:rPr>
        <w:t>；</w:t>
      </w:r>
      <w:r>
        <w:rPr>
          <w:rFonts w:eastAsia="仿宋_GB2312"/>
          <w:sz w:val="32"/>
          <w:szCs w:val="32"/>
          <w:u w:color="000000"/>
          <w:lang w:val="zh-TW"/>
        </w:rPr>
        <w:t>非二氧化碳排放21.02吨二氧化碳当量，占比较小。</w:t>
      </w:r>
    </w:p>
    <w:p>
      <w:pPr>
        <w:spacing w:line="560" w:lineRule="exact"/>
        <w:ind w:firstLine="640" w:firstLineChars="200"/>
        <w:jc w:val="left"/>
        <w:rPr>
          <w:rFonts w:eastAsia="仿宋_GB2312"/>
          <w:sz w:val="32"/>
          <w:szCs w:val="32"/>
          <w:u w:color="000000"/>
          <w:lang w:val="zh-TW"/>
        </w:rPr>
      </w:pPr>
      <w:r>
        <w:rPr>
          <w:rFonts w:eastAsia="仿宋_GB2312"/>
          <w:sz w:val="32"/>
          <w:szCs w:val="32"/>
          <w:u w:color="000000"/>
          <w:lang w:val="zh-TW"/>
        </w:rPr>
        <w:t>按照主要排放源分析，</w:t>
      </w:r>
      <w:r>
        <w:rPr>
          <w:rFonts w:hint="eastAsia" w:eastAsia="仿宋_GB2312"/>
          <w:sz w:val="32"/>
          <w:szCs w:val="32"/>
          <w:u w:color="000000"/>
          <w:lang w:val="zh-TW" w:eastAsia="zh-CN"/>
        </w:rPr>
        <w:t>安吉农商银行</w:t>
      </w:r>
      <w:r>
        <w:rPr>
          <w:rFonts w:eastAsia="仿宋_GB2312"/>
          <w:sz w:val="32"/>
          <w:szCs w:val="32"/>
          <w:u w:color="000000"/>
          <w:lang w:val="zh-TW" w:eastAsia="zh-Hans"/>
        </w:rPr>
        <w:t>2022年度</w:t>
      </w:r>
      <w:r>
        <w:rPr>
          <w:rFonts w:eastAsia="仿宋_GB2312"/>
          <w:sz w:val="32"/>
          <w:szCs w:val="32"/>
          <w:u w:color="000000"/>
          <w:lang w:val="zh-TW"/>
        </w:rPr>
        <w:t>排放最高的前三名分别为：自身运营外购电力消耗</w:t>
      </w:r>
      <w:r>
        <w:rPr>
          <w:rFonts w:eastAsia="仿宋_GB2312"/>
          <w:sz w:val="32"/>
          <w:szCs w:val="32"/>
          <w:u w:color="000000"/>
          <w:lang w:val="zh-TW" w:eastAsia="zh-Hans"/>
        </w:rPr>
        <w:t>引起的温室气体</w:t>
      </w:r>
      <w:r>
        <w:rPr>
          <w:rFonts w:eastAsia="仿宋_GB2312"/>
          <w:sz w:val="32"/>
          <w:szCs w:val="32"/>
          <w:u w:color="000000"/>
          <w:lang w:val="zh-TW"/>
        </w:rPr>
        <w:t>排放3,086.63吨二氧化碳当量，占比52.32%；员工通勤汽油消耗</w:t>
      </w:r>
      <w:r>
        <w:rPr>
          <w:rFonts w:eastAsia="仿宋_GB2312"/>
          <w:sz w:val="32"/>
          <w:szCs w:val="32"/>
          <w:u w:color="000000"/>
          <w:lang w:val="zh-TW" w:eastAsia="zh-Hans"/>
        </w:rPr>
        <w:t>引起的温室气体</w:t>
      </w:r>
      <w:r>
        <w:rPr>
          <w:rFonts w:eastAsia="仿宋_GB2312"/>
          <w:sz w:val="32"/>
          <w:szCs w:val="32"/>
          <w:u w:color="000000"/>
          <w:lang w:val="zh-TW"/>
        </w:rPr>
        <w:t>排放1,454.88吨二氧化碳当量，占比24.66%；</w:t>
      </w:r>
      <w:bookmarkStart w:id="109" w:name="_Hlk133418252"/>
      <w:r>
        <w:rPr>
          <w:rFonts w:eastAsia="仿宋_GB2312"/>
          <w:sz w:val="32"/>
          <w:szCs w:val="32"/>
          <w:u w:color="000000"/>
          <w:lang w:val="zh-TW"/>
        </w:rPr>
        <w:t>外包运输柴油消耗</w:t>
      </w:r>
      <w:r>
        <w:rPr>
          <w:rFonts w:eastAsia="仿宋_GB2312"/>
          <w:sz w:val="32"/>
          <w:szCs w:val="32"/>
          <w:u w:color="000000"/>
          <w:lang w:val="zh-TW" w:eastAsia="zh-Hans"/>
        </w:rPr>
        <w:t>引起的温室气体</w:t>
      </w:r>
      <w:r>
        <w:rPr>
          <w:rFonts w:eastAsia="仿宋_GB2312"/>
          <w:sz w:val="32"/>
          <w:szCs w:val="32"/>
          <w:u w:color="000000"/>
          <w:lang w:val="zh-TW"/>
        </w:rPr>
        <w:t>排放1,202.43吨二氧化碳当量，占比</w:t>
      </w:r>
      <w:r>
        <w:rPr>
          <w:rFonts w:hint="eastAsia" w:eastAsia="仿宋_GB2312"/>
          <w:sz w:val="32"/>
          <w:szCs w:val="32"/>
          <w:u w:color="000000"/>
        </w:rPr>
        <w:t>额</w:t>
      </w:r>
      <w:r>
        <w:rPr>
          <w:rFonts w:eastAsia="仿宋_GB2312"/>
          <w:sz w:val="32"/>
          <w:szCs w:val="32"/>
          <w:u w:color="000000"/>
          <w:lang w:val="zh-TW"/>
        </w:rPr>
        <w:t>20.38%。</w:t>
      </w:r>
      <w:bookmarkEnd w:id="109"/>
    </w:p>
    <w:p>
      <w:pPr>
        <w:widowControl/>
        <w:spacing w:before="156" w:beforeLines="50" w:line="600" w:lineRule="exact"/>
        <w:jc w:val="center"/>
      </w:pPr>
      <w:r>
        <w:drawing>
          <wp:anchor distT="0" distB="0" distL="0" distR="0" simplePos="0" relativeHeight="251659264" behindDoc="0" locked="0" layoutInCell="1" allowOverlap="1">
            <wp:simplePos x="0" y="0"/>
            <wp:positionH relativeFrom="column">
              <wp:posOffset>534035</wp:posOffset>
            </wp:positionH>
            <wp:positionV relativeFrom="paragraph">
              <wp:posOffset>497840</wp:posOffset>
            </wp:positionV>
            <wp:extent cx="4435475" cy="2743200"/>
            <wp:effectExtent l="4445" t="5080" r="10160" b="1016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jc w:val="center"/>
        <w:rPr>
          <w:rFonts w:eastAsia="仿宋_GB2312"/>
          <w:sz w:val="24"/>
          <w:u w:color="000000"/>
          <w:lang w:val="zh-TW"/>
        </w:rPr>
      </w:pPr>
      <w:r>
        <w:rPr>
          <w:rFonts w:hint="eastAsia"/>
          <w:b/>
        </w:rPr>
        <w:t>图6</w:t>
      </w:r>
      <w:r>
        <w:rPr>
          <w:b/>
        </w:rPr>
        <w:t>-</w:t>
      </w:r>
      <w:r>
        <w:rPr>
          <w:rFonts w:hint="eastAsia"/>
          <w:b/>
        </w:rPr>
        <w:t>1-2</w:t>
      </w:r>
      <w:r>
        <w:rPr>
          <w:rFonts w:hint="eastAsia"/>
          <w:b/>
          <w:lang w:eastAsia="zh-CN"/>
        </w:rPr>
        <w:t>安吉农商银行</w:t>
      </w:r>
      <w:r>
        <w:rPr>
          <w:rFonts w:hint="eastAsia"/>
          <w:b/>
        </w:rPr>
        <w:t>2022年度主要排放源分析</w:t>
      </w:r>
    </w:p>
    <w:p>
      <w:pPr>
        <w:pStyle w:val="37"/>
        <w:ind w:firstLine="643"/>
        <w:rPr>
          <w:rFonts w:ascii="Times New Roman" w:hAnsi="Times New Roman"/>
          <w:lang w:eastAsia="zh-CN"/>
        </w:rPr>
      </w:pPr>
      <w:bookmarkStart w:id="110" w:name="_Toc7539"/>
      <w:r>
        <w:rPr>
          <w:rFonts w:ascii="Times New Roman" w:hAnsi="Times New Roman" w:eastAsia="仿宋_GB2312"/>
        </w:rPr>
        <w:t>6.</w:t>
      </w:r>
      <w:r>
        <w:rPr>
          <w:rFonts w:ascii="Times New Roman" w:hAnsi="Times New Roman"/>
          <w:lang w:eastAsia="zh-CN"/>
        </w:rPr>
        <w:t>2</w:t>
      </w:r>
      <w:r>
        <w:rPr>
          <w:rFonts w:ascii="Times New Roman" w:hAnsi="Times New Roman"/>
        </w:rPr>
        <w:t>本机构</w:t>
      </w:r>
      <w:r>
        <w:rPr>
          <w:rFonts w:ascii="Times New Roman" w:hAnsi="Times New Roman"/>
          <w:lang w:val="en-US" w:eastAsia="zh-CN"/>
        </w:rPr>
        <w:t>2023</w:t>
      </w:r>
      <w:r>
        <w:rPr>
          <w:rFonts w:ascii="Times New Roman" w:hAnsi="Times New Roman"/>
          <w:lang w:eastAsia="zh-CN"/>
        </w:rPr>
        <w:t>年经营活动对环境产生的</w:t>
      </w:r>
      <w:r>
        <w:rPr>
          <w:rFonts w:ascii="Times New Roman" w:hAnsi="Times New Roman"/>
        </w:rPr>
        <w:t>影响</w:t>
      </w:r>
      <w:bookmarkEnd w:id="110"/>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按照公允/通行的计算</w:t>
      </w:r>
      <w:r>
        <w:rPr>
          <w:rFonts w:hint="eastAsia" w:eastAsia="仿宋_GB2312"/>
          <w:color w:val="000000"/>
          <w:sz w:val="32"/>
          <w:szCs w:val="32"/>
          <w:u w:color="000000"/>
          <w:lang w:val="zh-TW"/>
        </w:rPr>
        <w:t>标准，本机构2023年经营活动对环境产生的影响如下表所</w:t>
      </w:r>
      <w:r>
        <w:rPr>
          <w:rFonts w:eastAsia="仿宋_GB2312"/>
          <w:sz w:val="32"/>
          <w:szCs w:val="32"/>
          <w:u w:color="000000"/>
          <w:lang w:val="zh-TW"/>
        </w:rPr>
        <w:t>示：</w:t>
      </w:r>
    </w:p>
    <w:p>
      <w:pPr>
        <w:pStyle w:val="24"/>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表3. 金融机构经营活动对环境产生的影响</w:t>
      </w:r>
    </w:p>
    <w:tbl>
      <w:tblPr>
        <w:tblStyle w:val="18"/>
        <w:tblW w:w="939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833"/>
        <w:gridCol w:w="3648"/>
        <w:gridCol w:w="1456"/>
        <w:gridCol w:w="145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09" w:hRule="atLeast"/>
          <w:jc w:val="center"/>
        </w:trPr>
        <w:tc>
          <w:tcPr>
            <w:tcW w:w="2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center"/>
              <w:rPr>
                <w:rFonts w:eastAsia="宋体" w:cs="Times New Roman"/>
                <w:b/>
                <w:color w:val="auto"/>
                <w:lang w:val="zh-TW"/>
              </w:rPr>
            </w:pPr>
            <w:r>
              <w:rPr>
                <w:rFonts w:eastAsia="宋体" w:cs="Times New Roman"/>
                <w:b/>
                <w:color w:val="auto"/>
                <w:lang w:val="zh-TW"/>
              </w:rPr>
              <w:t>指标名称</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center"/>
              <w:rPr>
                <w:rFonts w:eastAsia="宋体" w:cs="Times New Roman"/>
                <w:b/>
                <w:color w:val="auto"/>
                <w:lang w:val="zh-TW"/>
              </w:rPr>
            </w:pPr>
            <w:r>
              <w:rPr>
                <w:rFonts w:eastAsia="宋体" w:cs="Times New Roman"/>
                <w:b/>
                <w:color w:val="auto"/>
                <w:lang w:val="zh-TW"/>
              </w:rPr>
              <w:t>披露细项</w:t>
            </w:r>
          </w:p>
        </w:tc>
        <w:tc>
          <w:tcPr>
            <w:tcW w:w="1456" w:type="dxa"/>
            <w:tcBorders>
              <w:top w:val="single" w:color="000000" w:sz="4" w:space="0"/>
              <w:left w:val="single" w:color="000000" w:sz="4" w:space="0"/>
              <w:bottom w:val="single" w:color="000000" w:sz="4" w:space="0"/>
              <w:right w:val="single" w:color="000000" w:sz="4" w:space="0"/>
            </w:tcBorders>
            <w:shd w:val="clear" w:color="auto" w:fill="auto"/>
          </w:tcPr>
          <w:p>
            <w:pPr>
              <w:pStyle w:val="24"/>
              <w:widowControl/>
              <w:jc w:val="center"/>
              <w:rPr>
                <w:rFonts w:eastAsia="宋体" w:cs="Times New Roman"/>
                <w:b/>
                <w:color w:val="auto"/>
                <w:lang w:val="zh-TW"/>
              </w:rPr>
            </w:pPr>
            <w:r>
              <w:rPr>
                <w:rFonts w:eastAsia="宋体" w:cs="Times New Roman"/>
                <w:b/>
                <w:color w:val="auto"/>
                <w:lang w:val="zh-TW"/>
              </w:rPr>
              <w:t>总量</w:t>
            </w:r>
          </w:p>
        </w:tc>
        <w:tc>
          <w:tcPr>
            <w:tcW w:w="1456" w:type="dxa"/>
            <w:tcBorders>
              <w:top w:val="single" w:color="000000" w:sz="4" w:space="0"/>
              <w:left w:val="single" w:color="000000" w:sz="4" w:space="0"/>
              <w:bottom w:val="single" w:color="000000" w:sz="4" w:space="0"/>
              <w:right w:val="single" w:color="000000" w:sz="4" w:space="0"/>
            </w:tcBorders>
            <w:shd w:val="clear" w:color="auto" w:fill="auto"/>
          </w:tcPr>
          <w:p>
            <w:pPr>
              <w:pStyle w:val="24"/>
              <w:widowControl/>
              <w:jc w:val="center"/>
              <w:rPr>
                <w:rFonts w:eastAsia="宋体" w:cs="Times New Roman"/>
                <w:b/>
                <w:color w:val="auto"/>
                <w:lang w:val="zh-TW"/>
              </w:rPr>
            </w:pPr>
            <w:r>
              <w:rPr>
                <w:rFonts w:eastAsia="宋体" w:cs="Times New Roman"/>
                <w:b/>
                <w:color w:val="auto"/>
                <w:lang w:val="zh-TW"/>
              </w:rPr>
              <w:t>人均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09" w:hRule="atLeast"/>
          <w:jc w:val="center"/>
        </w:trPr>
        <w:tc>
          <w:tcPr>
            <w:tcW w:w="28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left"/>
              <w:rPr>
                <w:rFonts w:eastAsia="宋体" w:cs="Times New Roman"/>
                <w:b/>
                <w:color w:val="auto"/>
              </w:rPr>
            </w:pPr>
            <w:r>
              <w:rPr>
                <w:rFonts w:eastAsia="宋体" w:cs="Times New Roman"/>
                <w:b/>
                <w:color w:val="auto"/>
                <w:lang w:val="zh-TW" w:eastAsia="zh-TW"/>
              </w:rPr>
              <w:t>经营活动直接产生的温室气体排放和自然资源消耗</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left"/>
              <w:rPr>
                <w:rFonts w:eastAsia="宋体" w:cs="Times New Roman"/>
                <w:color w:val="auto"/>
              </w:rPr>
            </w:pPr>
            <w:r>
              <w:rPr>
                <w:rFonts w:eastAsia="宋体" w:cs="Times New Roman"/>
                <w:color w:val="auto"/>
                <w:lang w:val="zh-TW"/>
              </w:rPr>
              <w:t>机构</w:t>
            </w:r>
            <w:r>
              <w:rPr>
                <w:rFonts w:eastAsia="宋体" w:cs="Times New Roman"/>
                <w:color w:val="auto"/>
                <w:lang w:val="zh-TW" w:eastAsia="zh-TW"/>
              </w:rPr>
              <w:t>自有交通运输工具所消耗的燃油</w:t>
            </w:r>
            <w:r>
              <w:rPr>
                <w:rFonts w:eastAsia="宋体" w:cs="Times New Roman"/>
                <w:color w:val="auto"/>
                <w:lang w:val="zh-TW"/>
              </w:rPr>
              <w:t>。（升）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kern w:val="0"/>
                <w:szCs w:val="21"/>
                <w:u w:color="000000"/>
              </w:rPr>
            </w:pPr>
          </w:p>
          <w:p>
            <w:pPr>
              <w:widowControl/>
              <w:jc w:val="center"/>
              <w:textAlignment w:val="center"/>
              <w:rPr>
                <w:b/>
                <w:kern w:val="0"/>
                <w:szCs w:val="21"/>
                <w:u w:color="000000"/>
              </w:rPr>
            </w:pPr>
            <w:r>
              <w:rPr>
                <w:b/>
                <w:kern w:val="0"/>
                <w:szCs w:val="21"/>
                <w:u w:color="000000"/>
                <w:lang w:val="zh-TW"/>
              </w:rPr>
              <w:t>11161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kern w:val="0"/>
                <w:szCs w:val="21"/>
                <w:u w:color="000000"/>
              </w:rPr>
            </w:pPr>
          </w:p>
          <w:p>
            <w:pPr>
              <w:widowControl/>
              <w:jc w:val="center"/>
              <w:textAlignment w:val="center"/>
              <w:rPr>
                <w:b/>
                <w:kern w:val="0"/>
                <w:szCs w:val="21"/>
                <w:u w:color="000000"/>
              </w:rPr>
            </w:pPr>
            <w:r>
              <w:rPr>
                <w:b/>
                <w:kern w:val="0"/>
                <w:szCs w:val="21"/>
                <w:u w:color="000000"/>
              </w:rPr>
              <w:t>15.70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09" w:hRule="atLeast"/>
          <w:jc w:val="center"/>
        </w:trPr>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b/>
                <w:szCs w:val="21"/>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left"/>
              <w:rPr>
                <w:rFonts w:eastAsia="宋体" w:cs="Times New Roman"/>
                <w:color w:val="auto"/>
              </w:rPr>
            </w:pPr>
            <w:r>
              <w:rPr>
                <w:rFonts w:eastAsia="宋体" w:cs="Times New Roman"/>
                <w:color w:val="auto"/>
                <w:lang w:val="zh-TW" w:eastAsia="zh-TW"/>
              </w:rPr>
              <w:t>营业、办公活动所消耗的水</w:t>
            </w:r>
            <w:r>
              <w:rPr>
                <w:rFonts w:eastAsia="宋体" w:cs="Times New Roman"/>
                <w:color w:val="auto"/>
                <w:lang w:val="zh-TW"/>
              </w:rPr>
              <w:t>（</w:t>
            </w:r>
            <w:r>
              <w:rPr>
                <w:rFonts w:eastAsia="宋体" w:cs="Times New Roman"/>
                <w:color w:val="auto"/>
              </w:rPr>
              <w:t>吨</w:t>
            </w:r>
            <w:r>
              <w:rPr>
                <w:rFonts w:eastAsia="宋体" w:cs="Times New Roman"/>
                <w:color w:val="auto"/>
                <w:lang w:val="zh-TW"/>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kern w:val="0"/>
                <w:szCs w:val="21"/>
                <w:u w:color="000000"/>
              </w:rPr>
            </w:pPr>
            <w:r>
              <w:rPr>
                <w:rFonts w:hint="eastAsia"/>
                <w:b/>
                <w:kern w:val="0"/>
                <w:szCs w:val="21"/>
                <w:u w:color="000000"/>
              </w:rPr>
              <w:t>29297.31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kern w:val="0"/>
                <w:szCs w:val="21"/>
                <w:u w:color="000000"/>
              </w:rPr>
            </w:pPr>
            <w:r>
              <w:rPr>
                <w:rFonts w:hint="eastAsia"/>
                <w:b/>
                <w:kern w:val="0"/>
                <w:szCs w:val="21"/>
                <w:u w:color="000000"/>
              </w:rPr>
              <w:t>41.21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9" w:hRule="atLeast"/>
          <w:jc w:val="center"/>
        </w:trPr>
        <w:tc>
          <w:tcPr>
            <w:tcW w:w="283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left"/>
              <w:rPr>
                <w:rFonts w:eastAsia="宋体" w:cs="Times New Roman"/>
                <w:b/>
                <w:color w:val="auto"/>
                <w:lang w:val="zh-TW"/>
              </w:rPr>
            </w:pPr>
            <w:r>
              <w:rPr>
                <w:rFonts w:eastAsia="宋体" w:cs="Times New Roman"/>
                <w:b/>
                <w:color w:val="auto"/>
                <w:lang w:val="zh-TW" w:eastAsia="zh-TW"/>
              </w:rPr>
              <w:t>采购的产品或服务所产生的间接温室气体排放和间接自然资源消耗</w:t>
            </w:r>
          </w:p>
        </w:tc>
        <w:tc>
          <w:tcPr>
            <w:tcW w:w="3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left"/>
              <w:rPr>
                <w:rFonts w:eastAsia="宋体" w:cs="Times New Roman"/>
                <w:color w:val="auto"/>
              </w:rPr>
            </w:pPr>
            <w:r>
              <w:rPr>
                <w:rFonts w:eastAsia="宋体" w:cs="Times New Roman"/>
                <w:color w:val="auto"/>
                <w:lang w:val="zh-TW" w:eastAsia="zh-TW"/>
              </w:rPr>
              <w:t>营业、办公所消耗的电力</w:t>
            </w:r>
            <w:r>
              <w:rPr>
                <w:rFonts w:eastAsia="宋体" w:cs="Times New Roman"/>
                <w:color w:val="auto"/>
                <w:lang w:val="zh-TW"/>
              </w:rPr>
              <w:t>（千瓦时）</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kern w:val="0"/>
                <w:szCs w:val="21"/>
                <w:u w:color="000000"/>
                <w:lang w:val="zh-TW"/>
              </w:rPr>
            </w:pPr>
            <w:r>
              <w:rPr>
                <w:b/>
                <w:kern w:val="0"/>
                <w:szCs w:val="21"/>
                <w:u w:color="000000"/>
              </w:rPr>
              <w:t>5347295.45</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kern w:val="0"/>
                <w:szCs w:val="21"/>
                <w:u w:color="000000"/>
              </w:rPr>
            </w:pPr>
            <w:r>
              <w:rPr>
                <w:b/>
                <w:kern w:val="0"/>
                <w:szCs w:val="21"/>
                <w:u w:color="000000"/>
              </w:rPr>
              <w:t>7520.8</w:t>
            </w:r>
            <w:r>
              <w:rPr>
                <w:rFonts w:hint="eastAsia"/>
                <w:b/>
                <w:kern w:val="0"/>
                <w:szCs w:val="21"/>
                <w:u w:color="000000"/>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9" w:hRule="atLeast"/>
          <w:jc w:val="center"/>
        </w:trPr>
        <w:tc>
          <w:tcPr>
            <w:tcW w:w="2833" w:type="dxa"/>
            <w:vMerge w:val="continue"/>
            <w:tcBorders>
              <w:top w:val="single" w:color="auto" w:sz="4" w:space="0"/>
              <w:left w:val="single" w:color="000000" w:sz="4" w:space="0"/>
              <w:bottom w:val="single" w:color="auto" w:sz="4" w:space="0"/>
              <w:right w:val="single" w:color="000000" w:sz="4" w:space="0"/>
            </w:tcBorders>
            <w:shd w:val="clear" w:color="auto" w:fill="auto"/>
          </w:tcPr>
          <w:p>
            <w:pPr>
              <w:rPr>
                <w:b/>
                <w:szCs w:val="21"/>
              </w:rPr>
            </w:pPr>
          </w:p>
        </w:tc>
        <w:tc>
          <w:tcPr>
            <w:tcW w:w="3648"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24"/>
              <w:widowControl/>
              <w:jc w:val="left"/>
              <w:rPr>
                <w:rFonts w:eastAsia="宋体" w:cs="Times New Roman"/>
                <w:color w:val="auto"/>
              </w:rPr>
            </w:pPr>
            <w:r>
              <w:rPr>
                <w:rFonts w:eastAsia="宋体" w:cs="Times New Roman"/>
                <w:color w:val="auto"/>
                <w:lang w:val="zh-TW" w:eastAsia="zh-TW"/>
              </w:rPr>
              <w:t>营业、办公所使用的纸张</w:t>
            </w:r>
            <w:r>
              <w:rPr>
                <w:rFonts w:eastAsia="宋体" w:cs="Times New Roman"/>
                <w:color w:val="auto"/>
                <w:lang w:val="zh-TW"/>
              </w:rPr>
              <w:t>（</w:t>
            </w:r>
            <w:r>
              <w:rPr>
                <w:rFonts w:eastAsia="宋体" w:cs="Times New Roman"/>
                <w:color w:val="auto"/>
              </w:rPr>
              <w:t>吨</w:t>
            </w:r>
            <w:r>
              <w:rPr>
                <w:rFonts w:eastAsia="宋体" w:cs="Times New Roman"/>
                <w:color w:val="auto"/>
                <w:lang w:val="zh-TW"/>
              </w:rPr>
              <w:t>）</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b/>
                <w:kern w:val="0"/>
                <w:szCs w:val="21"/>
                <w:u w:color="000000"/>
              </w:rPr>
            </w:pPr>
            <w:r>
              <w:rPr>
                <w:b/>
                <w:kern w:val="0"/>
                <w:szCs w:val="21"/>
                <w:u w:color="000000"/>
              </w:rPr>
              <w:t>6.27</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b/>
                <w:kern w:val="0"/>
                <w:szCs w:val="21"/>
                <w:u w:color="000000"/>
                <w:lang w:val="zh-TW" w:eastAsia="zh-TW"/>
              </w:rPr>
            </w:pPr>
            <w:r>
              <w:rPr>
                <w:b/>
                <w:kern w:val="0"/>
                <w:szCs w:val="21"/>
                <w:u w:color="000000"/>
                <w:lang w:val="zh-TW"/>
              </w:rPr>
              <w:t>8.82（公斤）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99" w:hRule="atLeast"/>
          <w:jc w:val="center"/>
        </w:trPr>
        <w:tc>
          <w:tcPr>
            <w:tcW w:w="2833" w:type="dxa"/>
            <w:tcBorders>
              <w:top w:val="single" w:color="auto" w:sz="4" w:space="0"/>
              <w:left w:val="single" w:color="000000" w:sz="4" w:space="0"/>
              <w:bottom w:val="single" w:color="000000" w:sz="4" w:space="0"/>
              <w:right w:val="single" w:color="000000" w:sz="4" w:space="0"/>
            </w:tcBorders>
            <w:shd w:val="clear" w:color="auto" w:fill="auto"/>
          </w:tcPr>
          <w:p>
            <w:pPr>
              <w:rPr>
                <w:b/>
                <w:szCs w:val="21"/>
              </w:rPr>
            </w:pPr>
            <w:r>
              <w:rPr>
                <w:b/>
                <w:szCs w:val="21"/>
                <w:u w:color="000000"/>
                <w:lang w:val="zh-TW" w:eastAsia="zh-TW"/>
              </w:rPr>
              <w:t>金融机构环保措施所产生的效果</w:t>
            </w:r>
          </w:p>
        </w:tc>
        <w:tc>
          <w:tcPr>
            <w:tcW w:w="3648"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widowControl/>
              <w:jc w:val="left"/>
              <w:rPr>
                <w:rFonts w:eastAsia="宋体" w:cs="Times New Roman"/>
                <w:color w:val="auto"/>
                <w:lang w:val="zh-TW"/>
              </w:rPr>
            </w:pPr>
            <w:r>
              <w:rPr>
                <w:rFonts w:eastAsia="宋体" w:cs="Times New Roman"/>
                <w:color w:val="auto"/>
                <w:lang w:val="zh-TW" w:eastAsia="zh-TW"/>
              </w:rPr>
              <w:t>为提升员工及社会大众的环保意识所举办的培训活动或公益活动</w:t>
            </w:r>
            <w:r>
              <w:rPr>
                <w:rFonts w:eastAsia="宋体" w:cs="Times New Roman"/>
                <w:color w:val="auto"/>
                <w:lang w:val="zh-TW"/>
              </w:rPr>
              <w:t>（人次）</w:t>
            </w:r>
          </w:p>
        </w:tc>
        <w:tc>
          <w:tcPr>
            <w:tcW w:w="145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kern w:val="0"/>
                <w:szCs w:val="21"/>
                <w:u w:color="000000"/>
              </w:rPr>
            </w:pPr>
            <w:r>
              <w:rPr>
                <w:b/>
                <w:kern w:val="0"/>
                <w:szCs w:val="21"/>
                <w:u w:color="000000"/>
              </w:rPr>
              <w:t>7290</w:t>
            </w:r>
          </w:p>
        </w:tc>
        <w:tc>
          <w:tcPr>
            <w:tcW w:w="1456" w:type="dxa"/>
            <w:tcBorders>
              <w:top w:val="single" w:color="auto"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b/>
                <w:kern w:val="0"/>
                <w:szCs w:val="21"/>
                <w:u w:color="000000"/>
              </w:rPr>
            </w:pPr>
          </w:p>
        </w:tc>
      </w:tr>
    </w:tbl>
    <w:p>
      <w:pPr>
        <w:pStyle w:val="4"/>
        <w:spacing w:line="240" w:lineRule="exact"/>
        <w:ind w:firstLine="640"/>
        <w:rPr>
          <w:rFonts w:ascii="Times New Roman" w:hAnsi="Times New Roman"/>
          <w:color w:val="000000"/>
          <w:u w:color="000000"/>
          <w:lang w:val="en-US"/>
        </w:rPr>
      </w:pPr>
      <w:bookmarkStart w:id="111" w:name="_Toc70665263"/>
      <w:bookmarkStart w:id="112" w:name="_Toc1"/>
    </w:p>
    <w:p>
      <w:pPr>
        <w:pStyle w:val="4"/>
        <w:ind w:firstLine="640"/>
        <w:rPr>
          <w:rFonts w:ascii="Times New Roman" w:hAnsi="Times New Roman"/>
          <w:color w:val="000000"/>
          <w:u w:color="000000"/>
          <w:lang w:val="en-US"/>
        </w:rPr>
      </w:pPr>
      <w:bookmarkStart w:id="113" w:name="_Toc19419"/>
      <w:r>
        <w:rPr>
          <w:rFonts w:ascii="Times New Roman" w:hAnsi="Times New Roman"/>
          <w:color w:val="000000"/>
          <w:u w:color="000000"/>
          <w:lang w:val="en-US"/>
        </w:rPr>
        <w:t>7本机构投融资对环境产生的影响</w:t>
      </w:r>
      <w:bookmarkEnd w:id="111"/>
      <w:bookmarkEnd w:id="112"/>
      <w:bookmarkEnd w:id="113"/>
    </w:p>
    <w:p>
      <w:pPr>
        <w:pStyle w:val="37"/>
        <w:ind w:firstLine="643"/>
        <w:rPr>
          <w:rFonts w:ascii="Times New Roman" w:hAnsi="Times New Roman"/>
        </w:rPr>
      </w:pPr>
      <w:bookmarkStart w:id="114" w:name="_Toc22494"/>
      <w:bookmarkStart w:id="115" w:name="_Toc42012346"/>
      <w:bookmarkStart w:id="116" w:name="_Toc70665264"/>
      <w:r>
        <w:rPr>
          <w:rFonts w:ascii="Times New Roman" w:hAnsi="Times New Roman"/>
        </w:rPr>
        <w:t>7.1本机构投融资所产生的环境影响</w:t>
      </w:r>
      <w:bookmarkEnd w:id="114"/>
      <w:bookmarkEnd w:id="115"/>
      <w:bookmarkEnd w:id="116"/>
    </w:p>
    <w:p>
      <w:pPr>
        <w:spacing w:line="560" w:lineRule="exact"/>
        <w:ind w:firstLine="640" w:firstLineChars="200"/>
        <w:rPr>
          <w:rFonts w:eastAsia="仿宋_GB2312"/>
          <w:color w:val="000000"/>
          <w:sz w:val="32"/>
          <w:szCs w:val="32"/>
          <w:u w:color="000000"/>
          <w:lang w:val="zh-TW"/>
        </w:rPr>
      </w:pPr>
      <w:r>
        <w:rPr>
          <w:rFonts w:eastAsia="仿宋_GB2312"/>
          <w:sz w:val="32"/>
          <w:szCs w:val="32"/>
          <w:u w:color="000000"/>
          <w:lang w:val="zh-TW"/>
        </w:rPr>
        <w:t>按照国家标准统计</w:t>
      </w:r>
      <w:r>
        <w:rPr>
          <w:rFonts w:hint="eastAsia" w:eastAsia="仿宋_GB2312"/>
          <w:color w:val="000000"/>
          <w:sz w:val="32"/>
          <w:szCs w:val="32"/>
          <w:u w:color="000000"/>
          <w:lang w:val="zh-TW"/>
        </w:rPr>
        <w:t>口径,截至2023年12月末，本行绿色信贷余额142.75亿元，占比所有贷款32.69%；投放的绿色信贷累计实现节约标煤量75.1万吨，减少二氧化碳排放量46.58万吨。</w:t>
      </w:r>
    </w:p>
    <w:p>
      <w:pPr>
        <w:pStyle w:val="37"/>
        <w:ind w:firstLine="643"/>
        <w:rPr>
          <w:rFonts w:ascii="Times New Roman" w:hAnsi="Times New Roman"/>
        </w:rPr>
      </w:pPr>
      <w:bookmarkStart w:id="117" w:name="_Toc70665265"/>
      <w:bookmarkStart w:id="118" w:name="_Toc42012347"/>
      <w:bookmarkStart w:id="119" w:name="_Toc13393"/>
      <w:r>
        <w:rPr>
          <w:rFonts w:ascii="Times New Roman" w:hAnsi="Times New Roman"/>
        </w:rPr>
        <w:t>7.2本机构投融资环境影响的测算与表达</w:t>
      </w:r>
      <w:bookmarkEnd w:id="117"/>
      <w:bookmarkEnd w:id="118"/>
      <w:bookmarkEnd w:id="119"/>
    </w:p>
    <w:p>
      <w:pPr>
        <w:spacing w:line="560" w:lineRule="exact"/>
        <w:ind w:firstLine="640" w:firstLineChars="200"/>
        <w:rPr>
          <w:rFonts w:eastAsia="仿宋_GB2312"/>
          <w:sz w:val="32"/>
          <w:szCs w:val="32"/>
          <w:u w:color="000000"/>
          <w:lang w:val="zh-TW"/>
        </w:rPr>
      </w:pPr>
      <w:r>
        <w:rPr>
          <w:rFonts w:eastAsia="仿宋_GB2312"/>
          <w:sz w:val="32"/>
          <w:szCs w:val="32"/>
          <w:u w:color="000000"/>
          <w:lang w:val="zh-TW"/>
        </w:rPr>
        <w:t>本行引进第三方专业</w:t>
      </w:r>
      <w:r>
        <w:rPr>
          <w:rFonts w:hint="eastAsia" w:eastAsia="仿宋_GB2312"/>
          <w:sz w:val="32"/>
          <w:szCs w:val="32"/>
          <w:u w:color="000000"/>
        </w:rPr>
        <w:t>机</w:t>
      </w:r>
      <w:r>
        <w:rPr>
          <w:rFonts w:hint="eastAsia" w:ascii="仿宋_GB2312" w:hAnsi="仿宋_GB2312" w:eastAsia="仿宋_GB2312" w:cs="仿宋_GB2312"/>
          <w:sz w:val="32"/>
          <w:szCs w:val="32"/>
          <w:u w:color="000000"/>
        </w:rPr>
        <w:t>构</w:t>
      </w:r>
      <w:r>
        <w:rPr>
          <w:rFonts w:ascii="仿宋_GB2312" w:hAnsi="仿宋_GB2312" w:eastAsia="仿宋_GB2312" w:cs="仿宋_GB2312"/>
          <w:sz w:val="32"/>
          <w:szCs w:val="32"/>
          <w:u w:color="000000"/>
          <w:lang w:val="zh-TW"/>
        </w:rPr>
        <w:t>开展“绿色普惠银行”管理项目，建设小法人银行绿色普惠金融评价与服务的标准化体系，其中绿色信贷环境效益评估体系，在能源效应计算大框架前提下结合地方实际特色设计，能科学评估计量每一笔绿色信贷投放产生的节能量、固碳量等环境效益，使本机构绿色普惠金融推动地方经济绿色发展的作用实现可视化、可量化</w:t>
      </w:r>
      <w:r>
        <w:rPr>
          <w:rFonts w:eastAsia="仿宋_GB2312"/>
          <w:sz w:val="32"/>
          <w:szCs w:val="32"/>
          <w:u w:color="000000"/>
          <w:lang w:val="zh-TW"/>
        </w:rPr>
        <w:t>、可信化。</w:t>
      </w:r>
      <w:bookmarkEnd w:id="94"/>
      <w:bookmarkEnd w:id="95"/>
    </w:p>
    <w:p>
      <w:pPr>
        <w:pStyle w:val="24"/>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表4. 金融机构投融资对环境产生的影响</w:t>
      </w:r>
    </w:p>
    <w:tbl>
      <w:tblPr>
        <w:tblStyle w:val="18"/>
        <w:tblW w:w="8325" w:type="dxa"/>
        <w:tblInd w:w="288" w:type="dxa"/>
        <w:tblLayout w:type="fixed"/>
        <w:tblCellMar>
          <w:top w:w="0" w:type="dxa"/>
          <w:left w:w="108" w:type="dxa"/>
          <w:bottom w:w="0" w:type="dxa"/>
          <w:right w:w="108" w:type="dxa"/>
        </w:tblCellMar>
      </w:tblPr>
      <w:tblGrid>
        <w:gridCol w:w="1893"/>
        <w:gridCol w:w="3086"/>
        <w:gridCol w:w="1282"/>
        <w:gridCol w:w="1204"/>
        <w:gridCol w:w="860"/>
      </w:tblGrid>
      <w:tr>
        <w:tblPrEx>
          <w:tblCellMar>
            <w:top w:w="0" w:type="dxa"/>
            <w:left w:w="108" w:type="dxa"/>
            <w:bottom w:w="0" w:type="dxa"/>
            <w:right w:w="108" w:type="dxa"/>
          </w:tblCellMar>
        </w:tblPrEx>
        <w:trPr>
          <w:trHeight w:val="312"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kern w:val="0"/>
                <w:szCs w:val="21"/>
                <w:lang w:eastAsia="zh-TW"/>
              </w:rPr>
              <w:t>指标名称</w:t>
            </w:r>
          </w:p>
        </w:tc>
        <w:tc>
          <w:tcPr>
            <w:tcW w:w="3086"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lang w:eastAsia="zh-TW"/>
              </w:rPr>
              <w:t>披露细项</w:t>
            </w:r>
          </w:p>
        </w:tc>
        <w:tc>
          <w:tcPr>
            <w:tcW w:w="1282"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披露数据</w:t>
            </w:r>
            <w:r>
              <w:rPr>
                <w:b/>
                <w:szCs w:val="22"/>
                <w:lang w:val="zh-TW"/>
              </w:rPr>
              <w:t>（人民银行口径）</w:t>
            </w:r>
          </w:p>
        </w:tc>
        <w:tc>
          <w:tcPr>
            <w:tcW w:w="1204"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披露数据</w:t>
            </w:r>
            <w:r>
              <w:rPr>
                <w:b/>
                <w:szCs w:val="22"/>
                <w:lang w:val="zh-TW"/>
              </w:rPr>
              <w:t>（</w:t>
            </w:r>
            <w:r>
              <w:rPr>
                <w:rFonts w:hint="eastAsia"/>
                <w:b/>
                <w:szCs w:val="22"/>
                <w:lang w:val="zh-TW" w:eastAsia="zh-CN"/>
              </w:rPr>
              <w:t>金融监管局</w:t>
            </w:r>
            <w:r>
              <w:rPr>
                <w:b/>
                <w:szCs w:val="22"/>
                <w:lang w:val="zh-TW"/>
              </w:rPr>
              <w:t>口径）</w:t>
            </w:r>
          </w:p>
        </w:tc>
        <w:tc>
          <w:tcPr>
            <w:tcW w:w="860" w:type="dxa"/>
            <w:tcBorders>
              <w:top w:val="single" w:color="auto" w:sz="4" w:space="0"/>
              <w:left w:val="nil"/>
              <w:bottom w:val="single" w:color="auto" w:sz="4" w:space="0"/>
              <w:right w:val="single" w:color="auto" w:sz="4" w:space="0"/>
            </w:tcBorders>
          </w:tcPr>
          <w:p>
            <w:pPr>
              <w:widowControl/>
              <w:jc w:val="center"/>
              <w:rPr>
                <w:b/>
                <w:bCs/>
                <w:kern w:val="0"/>
                <w:szCs w:val="21"/>
              </w:rPr>
            </w:pPr>
            <w:r>
              <w:rPr>
                <w:b/>
                <w:bCs/>
                <w:kern w:val="0"/>
                <w:szCs w:val="21"/>
                <w:lang w:eastAsia="zh-TW"/>
              </w:rPr>
              <w:t>备注</w:t>
            </w:r>
          </w:p>
        </w:tc>
      </w:tr>
      <w:tr>
        <w:tblPrEx>
          <w:tblCellMar>
            <w:top w:w="0" w:type="dxa"/>
            <w:left w:w="108" w:type="dxa"/>
            <w:bottom w:w="0" w:type="dxa"/>
            <w:right w:w="108" w:type="dxa"/>
          </w:tblCellMar>
        </w:tblPrEx>
        <w:trPr>
          <w:trHeight w:val="312" w:hRule="atLeast"/>
        </w:trPr>
        <w:tc>
          <w:tcPr>
            <w:tcW w:w="1893" w:type="dxa"/>
            <w:vMerge w:val="restart"/>
            <w:tcBorders>
              <w:top w:val="nil"/>
              <w:left w:val="single" w:color="auto" w:sz="4" w:space="0"/>
              <w:bottom w:val="single" w:color="auto" w:sz="4" w:space="0"/>
              <w:right w:val="single" w:color="auto" w:sz="4" w:space="0"/>
            </w:tcBorders>
            <w:vAlign w:val="center"/>
          </w:tcPr>
          <w:p>
            <w:pPr>
              <w:widowControl/>
              <w:jc w:val="left"/>
              <w:rPr>
                <w:kern w:val="0"/>
                <w:szCs w:val="21"/>
              </w:rPr>
            </w:pPr>
            <w:r>
              <w:rPr>
                <w:kern w:val="0"/>
                <w:szCs w:val="21"/>
                <w:lang w:eastAsia="zh-TW"/>
              </w:rPr>
              <w:t>绿色信贷余额及占比</w:t>
            </w: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绿色信贷余额（万元）</w:t>
            </w:r>
          </w:p>
        </w:tc>
        <w:tc>
          <w:tcPr>
            <w:tcW w:w="1282" w:type="dxa"/>
            <w:tcBorders>
              <w:top w:val="nil"/>
              <w:left w:val="nil"/>
              <w:bottom w:val="single" w:color="auto" w:sz="4" w:space="0"/>
              <w:right w:val="single" w:color="auto" w:sz="4" w:space="0"/>
            </w:tcBorders>
          </w:tcPr>
          <w:p>
            <w:pPr>
              <w:jc w:val="center"/>
              <w:rPr>
                <w:szCs w:val="21"/>
              </w:rPr>
            </w:pPr>
            <w:r>
              <w:rPr>
                <w:kern w:val="0"/>
                <w:szCs w:val="21"/>
                <w:lang w:eastAsia="zh-TW"/>
              </w:rPr>
              <w:t>1427484</w:t>
            </w:r>
          </w:p>
        </w:tc>
        <w:tc>
          <w:tcPr>
            <w:tcW w:w="1204" w:type="dxa"/>
            <w:tcBorders>
              <w:top w:val="nil"/>
              <w:left w:val="nil"/>
              <w:bottom w:val="single" w:color="auto" w:sz="4" w:space="0"/>
              <w:right w:val="single" w:color="auto" w:sz="4" w:space="0"/>
            </w:tcBorders>
          </w:tcPr>
          <w:p>
            <w:pPr>
              <w:jc w:val="center"/>
              <w:rPr>
                <w:szCs w:val="21"/>
              </w:rPr>
            </w:pPr>
            <w:r>
              <w:rPr>
                <w:kern w:val="0"/>
                <w:szCs w:val="21"/>
                <w:lang w:eastAsia="zh-TW"/>
              </w:rPr>
              <w:t>1427484</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rPr>
              <w:t>各项贷款余额（万元）</w:t>
            </w:r>
          </w:p>
        </w:tc>
        <w:tc>
          <w:tcPr>
            <w:tcW w:w="1282" w:type="dxa"/>
            <w:tcBorders>
              <w:top w:val="nil"/>
              <w:left w:val="nil"/>
              <w:bottom w:val="single" w:color="auto" w:sz="4" w:space="0"/>
              <w:right w:val="single" w:color="auto" w:sz="4" w:space="0"/>
            </w:tcBorders>
          </w:tcPr>
          <w:p>
            <w:pPr>
              <w:jc w:val="center"/>
              <w:rPr>
                <w:szCs w:val="21"/>
              </w:rPr>
            </w:pPr>
            <w:r>
              <w:rPr>
                <w:kern w:val="0"/>
                <w:szCs w:val="21"/>
                <w:lang w:eastAsia="zh-TW"/>
              </w:rPr>
              <w:t>4366604</w:t>
            </w:r>
          </w:p>
        </w:tc>
        <w:tc>
          <w:tcPr>
            <w:tcW w:w="1204" w:type="dxa"/>
            <w:tcBorders>
              <w:top w:val="nil"/>
              <w:left w:val="nil"/>
              <w:bottom w:val="single" w:color="auto" w:sz="4" w:space="0"/>
              <w:right w:val="single" w:color="auto" w:sz="4" w:space="0"/>
            </w:tcBorders>
          </w:tcPr>
          <w:p>
            <w:pPr>
              <w:jc w:val="center"/>
              <w:rPr>
                <w:szCs w:val="21"/>
              </w:rPr>
            </w:pPr>
            <w:r>
              <w:rPr>
                <w:kern w:val="0"/>
                <w:szCs w:val="21"/>
                <w:lang w:eastAsia="zh-TW"/>
              </w:rPr>
              <w:t>4366604</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绿色信贷占比（%）</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lang w:eastAsia="zh-TW"/>
              </w:rPr>
              <w:t>32.69</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lang w:eastAsia="zh-TW"/>
              </w:rPr>
              <w:t>32.69</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restart"/>
            <w:tcBorders>
              <w:top w:val="nil"/>
              <w:left w:val="single" w:color="auto" w:sz="4" w:space="0"/>
              <w:bottom w:val="single" w:color="auto" w:sz="4" w:space="0"/>
              <w:right w:val="single" w:color="auto" w:sz="4" w:space="0"/>
            </w:tcBorders>
            <w:vAlign w:val="center"/>
          </w:tcPr>
          <w:p>
            <w:pPr>
              <w:widowControl/>
              <w:jc w:val="left"/>
              <w:rPr>
                <w:kern w:val="0"/>
                <w:szCs w:val="21"/>
              </w:rPr>
            </w:pPr>
            <w:r>
              <w:rPr>
                <w:kern w:val="0"/>
                <w:szCs w:val="21"/>
                <w:lang w:eastAsia="zh-TW"/>
              </w:rPr>
              <w:t>绿色信贷金额变动折合减排情况</w:t>
            </w: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折合减排标准煤（吨）</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lang w:eastAsia="zh-TW"/>
              </w:rPr>
              <w:t>143214.73</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lang w:eastAsia="zh-TW"/>
              </w:rPr>
              <w:t>143214.73</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折合减排二氧化碳当量（吨）</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lang w:eastAsia="zh-TW"/>
              </w:rPr>
              <w:t>89876.58</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lang w:eastAsia="zh-TW"/>
              </w:rPr>
              <w:t>89876.58</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折合减排化学需氧量（吨）</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rPr>
              <w:t>0</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rPr>
              <w:t>0</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折合减排氨氮（吨）</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rPr>
              <w:t>0</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rPr>
              <w:t>0</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折合减排二氧化硫（吨）</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lang w:eastAsia="zh-TW"/>
              </w:rPr>
              <w:t>0.09</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lang w:eastAsia="zh-TW"/>
              </w:rPr>
              <w:t>0.09</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折合减排氮氧化物（吨）</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lang w:eastAsia="zh-TW"/>
              </w:rPr>
              <w:t>14.07</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lang w:eastAsia="zh-TW"/>
              </w:rPr>
              <w:t>14.07</w:t>
            </w:r>
          </w:p>
        </w:tc>
        <w:tc>
          <w:tcPr>
            <w:tcW w:w="860" w:type="dxa"/>
            <w:tcBorders>
              <w:top w:val="nil"/>
              <w:left w:val="nil"/>
              <w:bottom w:val="single" w:color="auto" w:sz="4" w:space="0"/>
              <w:right w:val="single" w:color="auto" w:sz="4" w:space="0"/>
            </w:tcBorders>
          </w:tcPr>
          <w:p>
            <w:pPr>
              <w:widowControl/>
              <w:jc w:val="center"/>
              <w:rPr>
                <w:kern w:val="0"/>
                <w:szCs w:val="21"/>
              </w:rPr>
            </w:pP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3086" w:type="dxa"/>
            <w:tcBorders>
              <w:top w:val="nil"/>
              <w:left w:val="nil"/>
              <w:bottom w:val="single" w:color="auto" w:sz="4" w:space="0"/>
              <w:right w:val="single" w:color="auto" w:sz="4" w:space="0"/>
            </w:tcBorders>
            <w:vAlign w:val="center"/>
          </w:tcPr>
          <w:p>
            <w:pPr>
              <w:widowControl/>
              <w:jc w:val="left"/>
              <w:rPr>
                <w:kern w:val="0"/>
                <w:szCs w:val="21"/>
              </w:rPr>
            </w:pPr>
            <w:r>
              <w:rPr>
                <w:kern w:val="0"/>
                <w:szCs w:val="21"/>
                <w:lang w:eastAsia="zh-TW"/>
              </w:rPr>
              <w:t>折合节水（吨）</w:t>
            </w:r>
          </w:p>
        </w:tc>
        <w:tc>
          <w:tcPr>
            <w:tcW w:w="1282" w:type="dxa"/>
            <w:tcBorders>
              <w:top w:val="nil"/>
              <w:left w:val="nil"/>
              <w:bottom w:val="single" w:color="auto" w:sz="4" w:space="0"/>
              <w:right w:val="single" w:color="auto" w:sz="4" w:space="0"/>
            </w:tcBorders>
          </w:tcPr>
          <w:p>
            <w:pPr>
              <w:jc w:val="center"/>
              <w:rPr>
                <w:kern w:val="0"/>
                <w:szCs w:val="21"/>
              </w:rPr>
            </w:pPr>
            <w:r>
              <w:rPr>
                <w:kern w:val="0"/>
                <w:szCs w:val="21"/>
              </w:rPr>
              <w:t>0</w:t>
            </w:r>
          </w:p>
        </w:tc>
        <w:tc>
          <w:tcPr>
            <w:tcW w:w="1204" w:type="dxa"/>
            <w:tcBorders>
              <w:top w:val="nil"/>
              <w:left w:val="nil"/>
              <w:bottom w:val="single" w:color="auto" w:sz="4" w:space="0"/>
              <w:right w:val="single" w:color="auto" w:sz="4" w:space="0"/>
            </w:tcBorders>
          </w:tcPr>
          <w:p>
            <w:pPr>
              <w:jc w:val="center"/>
              <w:rPr>
                <w:kern w:val="0"/>
                <w:szCs w:val="21"/>
              </w:rPr>
            </w:pPr>
            <w:r>
              <w:rPr>
                <w:kern w:val="0"/>
                <w:szCs w:val="21"/>
              </w:rPr>
              <w:t>0</w:t>
            </w:r>
          </w:p>
        </w:tc>
        <w:tc>
          <w:tcPr>
            <w:tcW w:w="860" w:type="dxa"/>
            <w:tcBorders>
              <w:top w:val="nil"/>
              <w:left w:val="nil"/>
              <w:bottom w:val="single" w:color="auto" w:sz="4" w:space="0"/>
              <w:right w:val="single" w:color="auto" w:sz="4" w:space="0"/>
            </w:tcBorders>
          </w:tcPr>
          <w:p>
            <w:pPr>
              <w:widowControl/>
              <w:jc w:val="center"/>
              <w:rPr>
                <w:kern w:val="0"/>
                <w:szCs w:val="21"/>
              </w:rPr>
            </w:pPr>
          </w:p>
        </w:tc>
      </w:tr>
    </w:tbl>
    <w:p>
      <w:pPr>
        <w:pStyle w:val="24"/>
        <w:tabs>
          <w:tab w:val="left" w:pos="949"/>
        </w:tabs>
        <w:spacing w:line="240" w:lineRule="exact"/>
        <w:jc w:val="center"/>
        <w:rPr>
          <w:rFonts w:eastAsia="宋体" w:cs="Times New Roman"/>
          <w:b/>
          <w:color w:val="auto"/>
          <w:szCs w:val="22"/>
        </w:rPr>
      </w:pPr>
    </w:p>
    <w:p>
      <w:pPr>
        <w:pStyle w:val="37"/>
        <w:ind w:firstLine="643"/>
        <w:rPr>
          <w:rFonts w:ascii="Times New Roman" w:hAnsi="Times New Roman"/>
        </w:rPr>
      </w:pPr>
      <w:bookmarkStart w:id="120" w:name="_Toc2803"/>
      <w:bookmarkStart w:id="121" w:name="_Toc70665266"/>
      <w:r>
        <w:rPr>
          <w:rFonts w:ascii="Times New Roman" w:hAnsi="Times New Roman"/>
        </w:rPr>
        <w:t>7.3数据梳理、校验及保护</w:t>
      </w:r>
      <w:bookmarkEnd w:id="120"/>
      <w:bookmarkEnd w:id="121"/>
    </w:p>
    <w:p>
      <w:pPr>
        <w:pStyle w:val="37"/>
        <w:ind w:firstLine="643"/>
        <w:rPr>
          <w:rFonts w:ascii="Times New Roman" w:hAnsi="Times New Roman"/>
          <w:lang w:eastAsia="zh-CN"/>
        </w:rPr>
      </w:pPr>
      <w:bookmarkStart w:id="122" w:name="_Toc42012349"/>
      <w:bookmarkStart w:id="123" w:name="_Toc15053"/>
      <w:r>
        <w:rPr>
          <w:rFonts w:ascii="Times New Roman" w:hAnsi="Times New Roman"/>
          <w:lang w:eastAsia="zh-CN"/>
        </w:rPr>
        <w:t>7.3.1本机构绿色信贷统计数据质量开展情况</w:t>
      </w:r>
      <w:bookmarkEnd w:id="122"/>
      <w:bookmarkEnd w:id="123"/>
    </w:p>
    <w:p>
      <w:pPr>
        <w:pStyle w:val="34"/>
        <w:spacing w:line="560" w:lineRule="exact"/>
        <w:ind w:left="0" w:firstLine="640" w:firstLineChars="200"/>
        <w:rPr>
          <w:rFonts w:ascii="Times New Roman" w:eastAsia="楷体"/>
          <w:sz w:val="32"/>
          <w:szCs w:val="32"/>
          <w:lang w:val="zh-TW"/>
        </w:rPr>
      </w:pPr>
      <w:r>
        <w:rPr>
          <w:rFonts w:ascii="Times New Roman" w:eastAsia="仿宋_GB2312"/>
          <w:kern w:val="2"/>
          <w:sz w:val="32"/>
          <w:szCs w:val="32"/>
          <w:u w:color="000000"/>
          <w:lang w:val="zh-TW"/>
        </w:rPr>
        <w:t>本行落实专业部门专职岗位严格按照绿色信贷分类标准和报送口</w:t>
      </w:r>
      <w:r>
        <w:rPr>
          <w:rFonts w:ascii="Times New Roman" w:eastAsia="仿宋_GB2312"/>
          <w:sz w:val="32"/>
          <w:szCs w:val="32"/>
          <w:u w:color="000000"/>
          <w:lang w:val="zh-TW"/>
        </w:rPr>
        <w:t>径执行绿色信贷数据报送工作。</w:t>
      </w:r>
      <w:r>
        <w:rPr>
          <w:rFonts w:ascii="Times New Roman" w:eastAsia="仿宋_GB2312"/>
          <w:b/>
          <w:sz w:val="32"/>
          <w:szCs w:val="32"/>
          <w:u w:color="000000"/>
          <w:lang w:val="zh-TW"/>
        </w:rPr>
        <w:t>一是</w:t>
      </w:r>
      <w:r>
        <w:rPr>
          <w:rFonts w:ascii="Times New Roman" w:eastAsia="仿宋_GB2312"/>
          <w:sz w:val="32"/>
          <w:szCs w:val="32"/>
          <w:u w:color="000000"/>
          <w:lang w:val="zh-TW"/>
        </w:rPr>
        <w:t>从数据源头抓起，规范信贷系统对企业信息准确维护，同时规范贷款用途描述，确保自建的“绿色金融综合服务平台”筛选准确。</w:t>
      </w:r>
      <w:r>
        <w:rPr>
          <w:rFonts w:ascii="Times New Roman" w:eastAsia="仿宋_GB2312"/>
          <w:b/>
          <w:sz w:val="32"/>
          <w:szCs w:val="32"/>
          <w:u w:color="000000"/>
          <w:lang w:val="zh-TW"/>
        </w:rPr>
        <w:t>二是</w:t>
      </w:r>
      <w:r>
        <w:rPr>
          <w:rFonts w:ascii="Times New Roman" w:eastAsia="仿宋_GB2312"/>
          <w:sz w:val="32"/>
          <w:szCs w:val="32"/>
          <w:u w:color="000000"/>
          <w:lang w:val="zh-TW"/>
        </w:rPr>
        <w:t>推行绿色信贷全流程操作管理模式，创建“绿色信贷专项审批通道”，由绿色金融事业部专业人员逐笔审核绿色贴标业务，准确指导客户经理开展绿色贴标工作，对新增的绿色贷款进行重点把控，确保绿色信贷数据准确。</w:t>
      </w:r>
      <w:r>
        <w:rPr>
          <w:rFonts w:ascii="Times New Roman" w:eastAsia="仿宋_GB2312"/>
          <w:b/>
          <w:sz w:val="32"/>
          <w:szCs w:val="32"/>
          <w:u w:color="000000"/>
          <w:lang w:val="zh-TW"/>
        </w:rPr>
        <w:t>三是</w:t>
      </w:r>
      <w:r>
        <w:rPr>
          <w:rFonts w:ascii="Times New Roman" w:eastAsia="仿宋_GB2312"/>
          <w:sz w:val="32"/>
          <w:szCs w:val="32"/>
          <w:u w:color="000000"/>
          <w:lang w:val="zh-TW"/>
        </w:rPr>
        <w:t>推进</w:t>
      </w:r>
      <w:r>
        <w:rPr>
          <w:rFonts w:hint="eastAsia" w:ascii="Times New Roman" w:eastAsia="仿宋_GB2312"/>
          <w:sz w:val="32"/>
          <w:szCs w:val="32"/>
          <w:u w:color="000000"/>
          <w:lang w:val="zh-TW" w:eastAsia="zh-CN"/>
        </w:rPr>
        <w:t>浙江农商联合银行</w:t>
      </w:r>
      <w:r>
        <w:rPr>
          <w:rFonts w:ascii="Times New Roman" w:eastAsia="仿宋_GB2312"/>
          <w:sz w:val="32"/>
          <w:szCs w:val="32"/>
          <w:u w:color="000000"/>
          <w:lang w:val="zh-TW"/>
        </w:rPr>
        <w:t>大信贷平台与</w:t>
      </w:r>
      <w:r>
        <w:rPr>
          <w:rFonts w:hint="eastAsia" w:ascii="Times New Roman" w:eastAsia="仿宋_GB2312"/>
          <w:sz w:val="32"/>
          <w:szCs w:val="32"/>
          <w:u w:color="000000"/>
          <w:lang w:val="zh-TW"/>
        </w:rPr>
        <w:t>人民银行湖州市分行</w:t>
      </w:r>
      <w:r>
        <w:rPr>
          <w:rFonts w:ascii="Times New Roman" w:eastAsia="仿宋_GB2312"/>
          <w:sz w:val="32"/>
          <w:szCs w:val="32"/>
          <w:u w:color="000000"/>
          <w:lang w:val="zh-TW"/>
        </w:rPr>
        <w:t>的绿色金融信息管理系</w:t>
      </w:r>
      <w:r>
        <w:rPr>
          <w:rFonts w:hint="eastAsia" w:ascii="Times New Roman" w:eastAsia="仿宋_GB2312"/>
          <w:sz w:val="32"/>
          <w:szCs w:val="32"/>
          <w:u w:color="000000"/>
          <w:lang w:val="en-US" w:eastAsia="zh-CN"/>
        </w:rPr>
        <w:t>统</w:t>
      </w:r>
      <w:r>
        <w:rPr>
          <w:rFonts w:ascii="Times New Roman" w:eastAsia="仿宋_GB2312"/>
          <w:sz w:val="32"/>
          <w:szCs w:val="32"/>
          <w:u w:color="000000"/>
          <w:lang w:val="zh-TW"/>
        </w:rPr>
        <w:t>、</w:t>
      </w:r>
      <w:r>
        <w:rPr>
          <w:rFonts w:hint="eastAsia" w:ascii="Times New Roman" w:eastAsia="仿宋_GB2312"/>
          <w:sz w:val="32"/>
          <w:szCs w:val="32"/>
          <w:u w:color="000000"/>
          <w:lang w:val="zh-TW"/>
        </w:rPr>
        <w:t>国家金融监督管理总局湖州监管分局</w:t>
      </w:r>
      <w:r>
        <w:rPr>
          <w:rFonts w:ascii="Times New Roman" w:eastAsia="仿宋_GB2312"/>
          <w:sz w:val="32"/>
          <w:szCs w:val="32"/>
          <w:u w:color="000000"/>
          <w:lang w:val="zh-TW"/>
        </w:rPr>
        <w:t>的绿色金融监管综合信息系统实现对接，通过与客户经理约定在贷款发放时定向选择行业投向，批量对标、报送统计报表，实现系统取数自动化。</w:t>
      </w:r>
      <w:r>
        <w:rPr>
          <w:rFonts w:ascii="Times New Roman" w:eastAsia="仿宋_GB2312"/>
          <w:b/>
          <w:sz w:val="32"/>
          <w:szCs w:val="32"/>
          <w:u w:color="000000"/>
          <w:lang w:val="zh-TW"/>
        </w:rPr>
        <w:t>四是</w:t>
      </w:r>
      <w:r>
        <w:rPr>
          <w:rFonts w:ascii="Times New Roman" w:eastAsia="仿宋_GB2312"/>
          <w:sz w:val="32"/>
          <w:szCs w:val="32"/>
          <w:u w:color="000000"/>
          <w:lang w:val="zh-TW"/>
        </w:rPr>
        <w:t>开展定期核对工作。每月末将绿色贴标数据与本行自建的“绿色金融综合服务平台”通过映射规则跑批对标出的绿色信贷进行比对，对绿色贷款报数的准确性进行双重保障。</w:t>
      </w:r>
    </w:p>
    <w:p>
      <w:pPr>
        <w:pStyle w:val="37"/>
        <w:ind w:firstLine="643"/>
        <w:rPr>
          <w:rFonts w:ascii="Times New Roman" w:hAnsi="Times New Roman"/>
          <w:lang w:eastAsia="zh-CN"/>
        </w:rPr>
      </w:pPr>
      <w:bookmarkStart w:id="124" w:name="_Toc26860"/>
      <w:bookmarkStart w:id="125" w:name="_Toc42012350"/>
      <w:r>
        <w:rPr>
          <w:rFonts w:ascii="Times New Roman" w:hAnsi="Times New Roman"/>
          <w:lang w:eastAsia="zh-CN"/>
        </w:rPr>
        <w:t>7.3.2本机构保证数据安全工作开展情况</w:t>
      </w:r>
      <w:bookmarkEnd w:id="124"/>
      <w:bookmarkEnd w:id="125"/>
    </w:p>
    <w:p>
      <w:pPr>
        <w:pStyle w:val="24"/>
        <w:tabs>
          <w:tab w:val="left" w:pos="949"/>
        </w:tabs>
        <w:spacing w:line="560" w:lineRule="exact"/>
        <w:ind w:firstLine="643" w:firstLineChars="200"/>
        <w:rPr>
          <w:rFonts w:eastAsia="仿宋_GB2312" w:cs="Times New Roman"/>
          <w:color w:val="auto"/>
          <w:kern w:val="0"/>
          <w:sz w:val="32"/>
          <w:szCs w:val="32"/>
          <w:lang w:val="zh-TW"/>
        </w:rPr>
      </w:pPr>
      <w:r>
        <w:rPr>
          <w:rFonts w:eastAsia="仿宋_GB2312" w:cs="Times New Roman"/>
          <w:b/>
          <w:color w:val="auto"/>
          <w:kern w:val="0"/>
          <w:sz w:val="32"/>
          <w:szCs w:val="32"/>
          <w:lang w:val="zh-TW"/>
        </w:rPr>
        <w:t>一是数据管理制度方面</w:t>
      </w:r>
      <w:r>
        <w:rPr>
          <w:rFonts w:eastAsia="仿宋_GB2312" w:cs="Times New Roman"/>
          <w:color w:val="auto"/>
          <w:kern w:val="0"/>
          <w:sz w:val="32"/>
          <w:szCs w:val="32"/>
          <w:lang w:val="zh-TW"/>
        </w:rPr>
        <w:t>，为规范本行数据信息的管理，本行制定了《浙江安吉农村商业银行股份有限公司数据安全管理办法》《浙江安吉农村商业银行股份有限公司数据备份管理办法》《浙江安吉农村商业银行股份有限公司生产数据脱敏管理办法》，对生产数据的生命周期进行管理，严格管理数据的采集、处理、存储、备份、恢复、清理和销毁。</w:t>
      </w:r>
      <w:r>
        <w:rPr>
          <w:rFonts w:eastAsia="仿宋_GB2312" w:cs="Times New Roman"/>
          <w:b/>
          <w:color w:val="auto"/>
          <w:kern w:val="0"/>
          <w:sz w:val="32"/>
          <w:szCs w:val="32"/>
          <w:lang w:val="zh-TW"/>
        </w:rPr>
        <w:t>二是严格系统登录模式，</w:t>
      </w:r>
      <w:r>
        <w:rPr>
          <w:rFonts w:eastAsia="仿宋_GB2312" w:cs="Times New Roman"/>
          <w:color w:val="auto"/>
          <w:kern w:val="0"/>
          <w:sz w:val="32"/>
          <w:szCs w:val="32"/>
          <w:lang w:val="zh-TW"/>
        </w:rPr>
        <w:t>严格按照监管和</w:t>
      </w:r>
      <w:r>
        <w:rPr>
          <w:rFonts w:hint="eastAsia" w:eastAsia="仿宋_GB2312" w:cs="Times New Roman"/>
          <w:color w:val="auto"/>
          <w:kern w:val="0"/>
          <w:sz w:val="32"/>
          <w:szCs w:val="32"/>
          <w:lang w:val="zh-TW" w:eastAsia="zh-CN"/>
        </w:rPr>
        <w:t>浙江农商联合银行</w:t>
      </w:r>
      <w:r>
        <w:rPr>
          <w:rFonts w:eastAsia="仿宋_GB2312" w:cs="Times New Roman"/>
          <w:color w:val="auto"/>
          <w:kern w:val="0"/>
          <w:sz w:val="32"/>
          <w:szCs w:val="32"/>
          <w:lang w:val="zh-TW"/>
        </w:rPr>
        <w:t>相关要求执行，重要系统原则上通过指纹登陆模式，由于个人原因无法使用指纹的，必须经过审批使用柜员卡加密码方式。系统均要求使用强密码，并强制要求定期修改。</w:t>
      </w:r>
      <w:r>
        <w:rPr>
          <w:rFonts w:eastAsia="仿宋_GB2312" w:cs="Times New Roman"/>
          <w:b/>
          <w:color w:val="auto"/>
          <w:kern w:val="0"/>
          <w:sz w:val="32"/>
          <w:szCs w:val="32"/>
          <w:lang w:val="zh-TW"/>
        </w:rPr>
        <w:t>三是进行数据资产梳理</w:t>
      </w:r>
      <w:r>
        <w:rPr>
          <w:rFonts w:eastAsia="仿宋_GB2312" w:cs="Times New Roman"/>
          <w:color w:val="auto"/>
          <w:kern w:val="0"/>
          <w:sz w:val="32"/>
          <w:szCs w:val="32"/>
          <w:lang w:val="zh-TW"/>
        </w:rPr>
        <w:t>，对数据下发、数据仓库、电子档</w:t>
      </w:r>
      <w:r>
        <w:rPr>
          <w:rFonts w:ascii="仿宋_GB2312" w:hAnsi="仿宋_GB2312" w:eastAsia="仿宋_GB2312" w:cs="仿宋_GB2312"/>
          <w:color w:val="auto"/>
          <w:sz w:val="32"/>
          <w:szCs w:val="32"/>
          <w:lang w:val="zh-TW"/>
        </w:rPr>
        <w:t>案、OCR等重要业务数据和公民个人信息的相关信息系统为重点，全面排查</w:t>
      </w:r>
      <w:r>
        <w:rPr>
          <w:rFonts w:eastAsia="仿宋_GB2312" w:cs="Times New Roman"/>
          <w:color w:val="auto"/>
          <w:kern w:val="0"/>
          <w:sz w:val="32"/>
          <w:szCs w:val="32"/>
          <w:lang w:val="zh-TW"/>
        </w:rPr>
        <w:t>相关信息系统重要数据和公民个人信息在采集、存储（含缓存）、传输、使用、提供、销毁等环节的具体情况，并形成数据资产清单。</w:t>
      </w:r>
      <w:r>
        <w:rPr>
          <w:rFonts w:eastAsia="仿宋_GB2312" w:cs="Times New Roman"/>
          <w:b/>
          <w:color w:val="auto"/>
          <w:kern w:val="0"/>
          <w:sz w:val="32"/>
          <w:szCs w:val="32"/>
          <w:lang w:val="zh-TW"/>
        </w:rPr>
        <w:t>四是在数据访问控制方面</w:t>
      </w:r>
      <w:r>
        <w:rPr>
          <w:rFonts w:eastAsia="仿宋_GB2312" w:cs="Times New Roman"/>
          <w:color w:val="auto"/>
          <w:kern w:val="0"/>
          <w:sz w:val="32"/>
          <w:szCs w:val="32"/>
          <w:lang w:val="zh-TW"/>
        </w:rPr>
        <w:t>，本行对终端进行了移动磁盘限制，数据提取必须进行有权审批，并对数据进行加密，杜绝泄漏重要数据和公民个人信息情况发生。本行终端</w:t>
      </w:r>
      <w:r>
        <w:rPr>
          <w:rFonts w:ascii="仿宋_GB2312" w:hAnsi="仿宋_GB2312" w:eastAsia="仿宋_GB2312" w:cs="仿宋_GB2312"/>
          <w:color w:val="auto"/>
          <w:sz w:val="32"/>
          <w:szCs w:val="32"/>
          <w:lang w:val="zh-TW"/>
        </w:rPr>
        <w:t>已全部部署DLP防泄漏系统和AuditPlus客户端，对数据操</w:t>
      </w:r>
      <w:r>
        <w:rPr>
          <w:rFonts w:eastAsia="仿宋_GB2312" w:cs="Times New Roman"/>
          <w:color w:val="auto"/>
          <w:kern w:val="0"/>
          <w:sz w:val="32"/>
          <w:szCs w:val="32"/>
          <w:lang w:val="zh-TW"/>
        </w:rPr>
        <w:t>作进行监控和记录。</w:t>
      </w:r>
      <w:r>
        <w:rPr>
          <w:rFonts w:eastAsia="仿宋_GB2312" w:cs="Times New Roman"/>
          <w:b/>
          <w:color w:val="auto"/>
          <w:kern w:val="0"/>
          <w:sz w:val="32"/>
          <w:szCs w:val="32"/>
          <w:lang w:val="zh-TW"/>
        </w:rPr>
        <w:t>五是在数据备份方面</w:t>
      </w:r>
      <w:r>
        <w:rPr>
          <w:rFonts w:eastAsia="仿宋_GB2312" w:cs="Times New Roman"/>
          <w:color w:val="auto"/>
          <w:kern w:val="0"/>
          <w:sz w:val="32"/>
          <w:szCs w:val="32"/>
          <w:lang w:val="zh-TW"/>
        </w:rPr>
        <w:t>，应用程序和日常数据严格按规定做好备份及登记工作，数据备份均严格按照</w:t>
      </w:r>
      <w:r>
        <w:rPr>
          <w:rFonts w:hint="eastAsia" w:eastAsia="仿宋_GB2312" w:cs="Times New Roman"/>
          <w:color w:val="auto"/>
          <w:kern w:val="0"/>
          <w:sz w:val="32"/>
          <w:szCs w:val="32"/>
          <w:lang w:val="zh-TW" w:eastAsia="zh-CN"/>
        </w:rPr>
        <w:t>浙江农商联合银行</w:t>
      </w:r>
      <w:r>
        <w:rPr>
          <w:rFonts w:eastAsia="仿宋_GB2312" w:cs="Times New Roman"/>
          <w:color w:val="auto"/>
          <w:kern w:val="0"/>
          <w:sz w:val="32"/>
          <w:szCs w:val="32"/>
          <w:lang w:val="zh-TW"/>
        </w:rPr>
        <w:t>下发的运维手册进行操作，备份后的数据包括数据库备份和图像数据复制到移动硬盘或刻录光盘的形式保存在灾备机房，并有专人做好记录。在应急演练过程中，对部分数据进行恢复性测试。</w:t>
      </w:r>
      <w:r>
        <w:rPr>
          <w:rFonts w:eastAsia="仿宋_GB2312" w:cs="Times New Roman"/>
          <w:b/>
          <w:color w:val="auto"/>
          <w:kern w:val="0"/>
          <w:sz w:val="32"/>
          <w:szCs w:val="32"/>
          <w:lang w:val="zh-TW"/>
        </w:rPr>
        <w:t>六是在客户信息保护方面</w:t>
      </w:r>
      <w:r>
        <w:rPr>
          <w:rFonts w:eastAsia="仿宋_GB2312" w:cs="Times New Roman"/>
          <w:color w:val="auto"/>
          <w:kern w:val="0"/>
          <w:sz w:val="32"/>
          <w:szCs w:val="32"/>
          <w:lang w:val="zh-TW"/>
        </w:rPr>
        <w:t>，制定了涉及客户敏感信息的运维操作审批流程，经行领导审批拷出，用以加强员工操作行为管控和审计，禁止违规查询、下载、复印、保存客</w:t>
      </w:r>
      <w:r>
        <w:rPr>
          <w:rFonts w:ascii="仿宋_GB2312" w:hAnsi="仿宋_GB2312" w:eastAsia="仿宋_GB2312" w:cs="仿宋_GB2312"/>
          <w:color w:val="auto"/>
          <w:sz w:val="32"/>
          <w:szCs w:val="32"/>
          <w:lang w:val="zh-TW"/>
        </w:rPr>
        <w:t>户信息；数据的</w:t>
      </w:r>
      <w:r>
        <w:rPr>
          <w:rFonts w:eastAsia="仿宋_GB2312" w:cs="Times New Roman"/>
          <w:color w:val="auto"/>
          <w:kern w:val="0"/>
          <w:sz w:val="32"/>
          <w:szCs w:val="32"/>
          <w:lang w:val="zh-TW"/>
        </w:rPr>
        <w:t>增删改查，导入/导出操作均有日志记录。本</w:t>
      </w:r>
      <w:r>
        <w:rPr>
          <w:rFonts w:ascii="仿宋_GB2312" w:hAnsi="仿宋_GB2312" w:eastAsia="仿宋_GB2312" w:cs="仿宋_GB2312"/>
          <w:color w:val="auto"/>
          <w:sz w:val="32"/>
          <w:szCs w:val="32"/>
          <w:lang w:val="zh-TW"/>
        </w:rPr>
        <w:t>行未有APP等系统用</w:t>
      </w:r>
      <w:r>
        <w:rPr>
          <w:rFonts w:eastAsia="仿宋_GB2312" w:cs="Times New Roman"/>
          <w:color w:val="auto"/>
          <w:kern w:val="0"/>
          <w:sz w:val="32"/>
          <w:szCs w:val="32"/>
          <w:lang w:val="zh-TW"/>
        </w:rPr>
        <w:t>于收集客户信息，亦无对外共享数据。</w:t>
      </w:r>
    </w:p>
    <w:p>
      <w:pPr>
        <w:pStyle w:val="37"/>
        <w:ind w:firstLine="643"/>
        <w:rPr>
          <w:rFonts w:ascii="Times New Roman" w:hAnsi="Times New Roman"/>
          <w:lang w:eastAsia="zh-CN"/>
        </w:rPr>
      </w:pPr>
      <w:bookmarkStart w:id="126" w:name="_Toc42012351"/>
      <w:bookmarkStart w:id="127" w:name="_Toc23228"/>
      <w:r>
        <w:rPr>
          <w:rFonts w:ascii="Times New Roman" w:hAnsi="Times New Roman"/>
          <w:lang w:eastAsia="zh-CN"/>
        </w:rPr>
        <w:t>7.3.3本机构数据安全方面的应急预案</w:t>
      </w:r>
      <w:bookmarkEnd w:id="126"/>
      <w:bookmarkEnd w:id="127"/>
    </w:p>
    <w:p>
      <w:pPr>
        <w:spacing w:line="560" w:lineRule="exact"/>
        <w:ind w:firstLine="640" w:firstLineChars="200"/>
        <w:rPr>
          <w:lang w:val="zh-TW"/>
        </w:rPr>
      </w:pPr>
      <w:r>
        <w:rPr>
          <w:rFonts w:eastAsia="仿宋_GB2312"/>
          <w:sz w:val="32"/>
          <w:szCs w:val="32"/>
          <w:u w:color="000000"/>
          <w:lang w:val="zh-TW"/>
        </w:rPr>
        <w:t>根据</w:t>
      </w:r>
      <w:r>
        <w:rPr>
          <w:rFonts w:hint="eastAsia" w:eastAsia="仿宋_GB2312"/>
          <w:sz w:val="32"/>
          <w:szCs w:val="32"/>
          <w:u w:color="000000"/>
          <w:lang w:val="zh-TW" w:eastAsia="zh-CN"/>
        </w:rPr>
        <w:t>浙江农商联合银行</w:t>
      </w:r>
      <w:r>
        <w:rPr>
          <w:rFonts w:eastAsia="仿宋_GB2312"/>
          <w:sz w:val="32"/>
          <w:szCs w:val="32"/>
          <w:u w:color="000000"/>
          <w:lang w:val="zh-TW"/>
        </w:rPr>
        <w:t>网络规划要求，本行</w:t>
      </w:r>
      <w:r>
        <w:rPr>
          <w:rFonts w:hint="eastAsia" w:eastAsia="仿宋_GB2312"/>
          <w:color w:val="000000"/>
          <w:sz w:val="32"/>
          <w:szCs w:val="32"/>
          <w:u w:color="000000"/>
          <w:lang w:val="zh-TW"/>
        </w:rPr>
        <w:t>已在2019年建设了新灾备中心，2020年进行了搬迁，目前运行稳定，地点位于本行运维大楼3楼</w:t>
      </w:r>
      <w:r>
        <w:rPr>
          <w:rFonts w:hint="eastAsia" w:eastAsia="仿宋_GB2312"/>
          <w:color w:val="000000"/>
          <w:sz w:val="32"/>
          <w:szCs w:val="32"/>
          <w:u w:color="000000"/>
          <w:lang w:val="en-US" w:eastAsia="zh-CN"/>
        </w:rPr>
        <w:t>,</w:t>
      </w:r>
      <w:r>
        <w:rPr>
          <w:rFonts w:hint="eastAsia" w:eastAsia="仿宋_GB2312"/>
          <w:color w:val="000000"/>
          <w:sz w:val="32"/>
          <w:szCs w:val="32"/>
          <w:u w:color="000000"/>
          <w:lang w:val="zh-TW"/>
        </w:rPr>
        <w:t>实现了网络、数</w:t>
      </w:r>
      <w:r>
        <w:rPr>
          <w:rFonts w:eastAsia="仿宋_GB2312"/>
          <w:sz w:val="32"/>
          <w:szCs w:val="32"/>
          <w:u w:color="000000"/>
          <w:lang w:val="zh-TW"/>
        </w:rPr>
        <w:t>据及部分应用系统的同城灾备。应急管理方面，本行按照计算机机房及动力环境系统、网络通信、主机系统、门户网站等制定了不同的应急预案，在演练前制定详细演练计划，包括演练内容、时间</w:t>
      </w:r>
      <w:r>
        <w:rPr>
          <w:rFonts w:hint="eastAsia" w:eastAsia="仿宋_GB2312"/>
          <w:sz w:val="32"/>
          <w:szCs w:val="32"/>
          <w:u w:color="000000"/>
          <w:lang w:val="zh-TW" w:eastAsia="zh-CN"/>
        </w:rPr>
        <w:t>、</w:t>
      </w:r>
      <w:r>
        <w:rPr>
          <w:rFonts w:eastAsia="仿宋_GB2312"/>
          <w:sz w:val="32"/>
          <w:szCs w:val="32"/>
          <w:u w:color="000000"/>
          <w:lang w:val="zh-TW"/>
        </w:rPr>
        <w:t>人员安排和回退方案，保障演练的完整性和安全性。应急演练每季度不少于一次，演练完成后进行总结，出具应急演练报告。同时制订了《浙江安吉农村商业银行股份有限公司信息系统危机处置预案》及《浙江安吉农村商业银行信息系统应急预案制度》等制度，对可能发生的计算机方面的故障事件制定了处置预案，明确相关部门、岗位职责，相关应急事件的处置方式、处置流程、汇报流程和相关应急保障等，确保在各种计算机突发事件出现的情况下，最大限度、最快速度恢复计算机正常使用。当信息系统发生软件升级、系统补丁安装、配置参数调整、网络改造等变更时，及时更新应急预案。</w:t>
      </w:r>
    </w:p>
    <w:p>
      <w:pPr>
        <w:pStyle w:val="4"/>
        <w:ind w:firstLine="640"/>
        <w:rPr>
          <w:rFonts w:ascii="Times New Roman" w:hAnsi="Times New Roman"/>
          <w:color w:val="000000"/>
          <w:u w:color="000000"/>
          <w:lang w:val="en-US"/>
        </w:rPr>
      </w:pPr>
      <w:bookmarkStart w:id="128" w:name="_Toc70665267"/>
      <w:bookmarkStart w:id="129" w:name="_Toc12596"/>
      <w:r>
        <w:rPr>
          <w:rFonts w:ascii="Times New Roman" w:hAnsi="Times New Roman"/>
          <w:color w:val="000000"/>
          <w:u w:color="000000"/>
          <w:lang w:val="en-US"/>
        </w:rPr>
        <w:t>8绿色金融创新及研究成果</w:t>
      </w:r>
      <w:bookmarkEnd w:id="128"/>
      <w:bookmarkEnd w:id="129"/>
    </w:p>
    <w:p>
      <w:pPr>
        <w:pStyle w:val="24"/>
        <w:tabs>
          <w:tab w:val="left" w:pos="949"/>
        </w:tabs>
        <w:spacing w:line="560" w:lineRule="exact"/>
        <w:ind w:firstLine="640" w:firstLineChars="200"/>
        <w:rPr>
          <w:rFonts w:eastAsia="仿宋_GB2312" w:cs="Times New Roman"/>
          <w:color w:val="auto"/>
          <w:sz w:val="32"/>
          <w:szCs w:val="32"/>
          <w:lang w:val="zh-TW" w:eastAsia="zh-TW"/>
        </w:rPr>
      </w:pPr>
      <w:r>
        <w:rPr>
          <w:rFonts w:eastAsia="仿宋_GB2312" w:cs="Times New Roman"/>
          <w:color w:val="auto"/>
          <w:sz w:val="32"/>
          <w:szCs w:val="32"/>
          <w:lang w:val="zh-TW" w:eastAsia="zh-TW"/>
        </w:rPr>
        <w:t>表5.安吉农商银行绿色金融创新案例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Borders>
              <w:top w:val="single" w:color="auto" w:sz="4" w:space="0"/>
              <w:left w:val="single" w:color="auto" w:sz="4" w:space="0"/>
              <w:bottom w:val="single" w:color="auto" w:sz="4" w:space="0"/>
              <w:right w:val="single" w:color="auto" w:sz="4" w:space="0"/>
            </w:tcBorders>
          </w:tcPr>
          <w:p>
            <w:pPr>
              <w:pStyle w:val="2"/>
              <w:tabs>
                <w:tab w:val="left" w:pos="949"/>
              </w:tabs>
              <w:spacing w:after="0" w:line="560" w:lineRule="exact"/>
              <w:ind w:left="0" w:leftChars="0" w:firstLine="0" w:firstLineChars="0"/>
              <w:jc w:val="center"/>
              <w:rPr>
                <w:rFonts w:eastAsia="黑体"/>
                <w:kern w:val="0"/>
                <w:sz w:val="32"/>
                <w:szCs w:val="32"/>
              </w:rPr>
            </w:pPr>
            <w:r>
              <w:rPr>
                <w:rFonts w:eastAsia="黑体"/>
                <w:kern w:val="0"/>
                <w:sz w:val="32"/>
                <w:szCs w:val="32"/>
              </w:rPr>
              <w:t>绿色金融产品服务（管理机制）创新案例</w:t>
            </w:r>
          </w:p>
          <w:p>
            <w:pPr>
              <w:pStyle w:val="42"/>
              <w:spacing w:before="156" w:line="240" w:lineRule="auto"/>
              <w:ind w:firstLine="640"/>
              <w:rPr>
                <w:rFonts w:ascii="Times New Roman"/>
              </w:rPr>
            </w:pPr>
            <w:bookmarkStart w:id="130" w:name="_Toc42012353"/>
            <w:bookmarkStart w:id="131" w:name="_Toc70665268"/>
            <w:bookmarkStart w:id="132" w:name="_Toc2245"/>
            <w:r>
              <w:rPr>
                <w:rFonts w:ascii="Times New Roman" w:eastAsia="黑体"/>
                <w:szCs w:val="32"/>
                <w:u w:val="none"/>
              </w:rPr>
              <w:t>案例1：</w:t>
            </w:r>
            <w:bookmarkEnd w:id="130"/>
            <w:bookmarkEnd w:id="131"/>
            <w:r>
              <w:rPr>
                <w:rFonts w:ascii="Times New Roman"/>
              </w:rPr>
              <w:t>“生态修复贷”—化生态“疤痕”为绿色“聚宝盆”</w:t>
            </w:r>
            <w:bookmarkEnd w:id="132"/>
          </w:p>
          <w:p>
            <w:pPr>
              <w:widowControl/>
              <w:numPr>
                <w:ilvl w:val="0"/>
                <w:numId w:val="1"/>
              </w:numPr>
              <w:rPr>
                <w:rFonts w:eastAsia="仿宋_GB2312"/>
                <w:b/>
                <w:kern w:val="0"/>
                <w:sz w:val="32"/>
                <w:szCs w:val="32"/>
              </w:rPr>
            </w:pPr>
            <w:r>
              <w:rPr>
                <w:rFonts w:eastAsia="仿宋_GB2312"/>
                <w:b/>
                <w:kern w:val="0"/>
                <w:sz w:val="32"/>
                <w:szCs w:val="32"/>
              </w:rPr>
              <w:t>案例背景：</w:t>
            </w:r>
          </w:p>
          <w:p>
            <w:pPr>
              <w:spacing w:line="560" w:lineRule="exact"/>
              <w:ind w:firstLine="640" w:firstLineChars="200"/>
              <w:rPr>
                <w:rFonts w:eastAsia="仿宋_GB2312"/>
                <w:color w:val="000000"/>
                <w:sz w:val="32"/>
                <w:szCs w:val="32"/>
              </w:rPr>
            </w:pPr>
            <w:r>
              <w:rPr>
                <w:rFonts w:eastAsia="仿宋_GB2312"/>
                <w:color w:val="000000"/>
                <w:sz w:val="32"/>
                <w:szCs w:val="32"/>
              </w:rPr>
              <w:t>生态不仅要保护、更要修复。国家自然资源部多次发文支持生态修复。当下，生态修复始终面临成本巨大的问题。生态破坏历史欠账多、治理投入不足、产权关系复杂，导致修复成本极高，工程体量大、周期长，会占用大量运营资金。因此，如何发挥好政、银、企三方的协同作用，成为了安吉农商银行探索实践的方向。</w:t>
            </w:r>
          </w:p>
          <w:p>
            <w:pPr>
              <w:pStyle w:val="2"/>
              <w:spacing w:after="0"/>
              <w:ind w:left="0" w:leftChars="0" w:firstLine="640"/>
              <w:rPr>
                <w:rFonts w:eastAsia="仿宋_GB2312"/>
                <w:color w:val="000000"/>
                <w:sz w:val="32"/>
                <w:szCs w:val="32"/>
              </w:rPr>
            </w:pPr>
            <w:r>
              <w:rPr>
                <w:rFonts w:eastAsia="仿宋_GB2312"/>
                <w:color w:val="000000"/>
                <w:sz w:val="32"/>
                <w:szCs w:val="32"/>
              </w:rPr>
              <w:t>“深蓝计划”是位于安吉县梅溪镇红庙村的一个生态修复项目，从一座关停多年的废弃矿坑，发展成日最高接待量破万人次、单日咖啡出杯量达7000多杯的网红打卡点，被网友们评选为“长三角地区最出片的咖啡馆”旅游景点。两年前，为彻底解决废弃矿坑的安全隐患和“脏乱差”问题，该项目拟采用“两入股三收益”模式，以大学生创业团队出资51%、村集体和村民出资49%的比例投资启动“深蓝计划”。但修复此矿坑仅收回产权和安全改造，需投入5000万资金，镇、村无力承担；另外网红打卡地也存在运营不持续、不长久等问题。针对这些难点，安吉农商银行围绕该项目创新“融资+融智”的综合金融服务，配套推出</w:t>
            </w:r>
            <w:r>
              <w:rPr>
                <w:rFonts w:hint="eastAsia" w:eastAsia="仿宋_GB2312"/>
                <w:color w:val="000000"/>
                <w:sz w:val="32"/>
                <w:szCs w:val="32"/>
                <w:lang w:eastAsia="zh-CN"/>
              </w:rPr>
              <w:t>“</w:t>
            </w:r>
            <w:r>
              <w:rPr>
                <w:rFonts w:eastAsia="仿宋_GB2312"/>
                <w:color w:val="000000"/>
                <w:sz w:val="32"/>
                <w:szCs w:val="32"/>
              </w:rPr>
              <w:t>生态修复贷</w:t>
            </w:r>
            <w:r>
              <w:rPr>
                <w:rFonts w:hint="eastAsia" w:eastAsia="仿宋_GB2312"/>
                <w:color w:val="000000"/>
                <w:sz w:val="32"/>
                <w:szCs w:val="32"/>
                <w:lang w:eastAsia="zh-CN"/>
              </w:rPr>
              <w:t>”</w:t>
            </w:r>
            <w:r>
              <w:rPr>
                <w:rFonts w:eastAsia="仿宋_GB2312"/>
                <w:color w:val="000000"/>
                <w:sz w:val="32"/>
                <w:szCs w:val="32"/>
              </w:rPr>
              <w:t>，以支持生态保护修复、助力特色产业运营、搭建共富生态圈三个重点，实现了生态资源价值转化和业态经济的可持续发展。</w:t>
            </w:r>
          </w:p>
          <w:p>
            <w:pPr>
              <w:pStyle w:val="2"/>
              <w:numPr>
                <w:ilvl w:val="0"/>
                <w:numId w:val="2"/>
              </w:numPr>
              <w:spacing w:after="0"/>
              <w:ind w:left="0" w:leftChars="0" w:firstLine="643"/>
              <w:rPr>
                <w:rFonts w:eastAsia="仿宋_GB2312"/>
                <w:b/>
                <w:kern w:val="0"/>
                <w:sz w:val="32"/>
                <w:szCs w:val="32"/>
              </w:rPr>
            </w:pPr>
            <w:r>
              <w:rPr>
                <w:rFonts w:eastAsia="仿宋_GB2312"/>
                <w:b/>
                <w:kern w:val="0"/>
                <w:sz w:val="32"/>
                <w:szCs w:val="32"/>
              </w:rPr>
              <w:t>主要做法：</w:t>
            </w:r>
          </w:p>
          <w:p>
            <w:pPr>
              <w:pStyle w:val="2"/>
              <w:spacing w:after="0"/>
              <w:ind w:left="0" w:leftChars="0" w:firstLine="640"/>
              <w:rPr>
                <w:rFonts w:eastAsia="仿宋_GB2312"/>
                <w:color w:val="000000"/>
                <w:sz w:val="32"/>
                <w:szCs w:val="32"/>
              </w:rPr>
            </w:pPr>
            <w:r>
              <w:rPr>
                <w:rFonts w:eastAsia="仿宋_GB2312"/>
                <w:color w:val="000000"/>
                <w:sz w:val="32"/>
                <w:szCs w:val="32"/>
              </w:rPr>
              <w:t>（一）点面结合，满足生态修复融资需求。从“深蓝计划”案例来看，安吉农商银行参照EOD模式的底层逻辑，将收益较好的关联产业有效融入到生态环境治理项目中，弥补了生态环境治理项目公益性较强、收益性差的缺陷。</w:t>
            </w:r>
          </w:p>
          <w:p>
            <w:pPr>
              <w:pStyle w:val="2"/>
              <w:spacing w:after="0"/>
              <w:ind w:left="0" w:leftChars="0" w:firstLine="640"/>
              <w:rPr>
                <w:rFonts w:eastAsia="仿宋_GB2312"/>
                <w:color w:val="000000"/>
                <w:sz w:val="32"/>
                <w:szCs w:val="32"/>
              </w:rPr>
            </w:pPr>
            <w:r>
              <w:rPr>
                <w:rFonts w:eastAsia="仿宋_GB2312"/>
                <w:color w:val="000000"/>
                <w:sz w:val="32"/>
                <w:szCs w:val="32"/>
              </w:rPr>
              <w:t>（二）内外兼修，带动金融助力青年创业。项目吸引流量，流量创造平台。通过金融活水注入，对“深蓝计划”主创团队</w:t>
            </w:r>
            <w:r>
              <w:rPr>
                <w:rFonts w:hint="eastAsia" w:eastAsia="仿宋_GB2312"/>
                <w:color w:val="000000"/>
                <w:sz w:val="32"/>
                <w:szCs w:val="32"/>
                <w:lang w:val="en-US" w:eastAsia="zh-CN"/>
              </w:rPr>
              <w:t>超</w:t>
            </w:r>
            <w:r>
              <w:rPr>
                <w:rFonts w:eastAsia="仿宋_GB2312"/>
                <w:color w:val="000000"/>
                <w:sz w:val="32"/>
                <w:szCs w:val="32"/>
                <w:highlight w:val="none"/>
              </w:rPr>
              <w:t>百名95后年轻人发放创业贷款，创建共享食堂、人才公寓、</w:t>
            </w:r>
            <w:r>
              <w:rPr>
                <w:rFonts w:eastAsia="仿宋_GB2312"/>
                <w:color w:val="000000"/>
                <w:sz w:val="32"/>
                <w:szCs w:val="32"/>
              </w:rPr>
              <w:t>艺术中心、交流中心产业链，形成人才社区，吸引更多人回乡创业，带动周边就业，最终形成经济生态圈。</w:t>
            </w:r>
          </w:p>
          <w:p>
            <w:pPr>
              <w:pStyle w:val="2"/>
              <w:spacing w:after="0"/>
              <w:ind w:left="0" w:leftChars="0" w:firstLine="640"/>
              <w:rPr>
                <w:rFonts w:eastAsia="仿宋_GB2312"/>
                <w:color w:val="000000"/>
                <w:sz w:val="32"/>
                <w:szCs w:val="32"/>
              </w:rPr>
            </w:pPr>
            <w:r>
              <w:rPr>
                <w:rFonts w:eastAsia="仿宋_GB2312"/>
                <w:color w:val="000000"/>
                <w:sz w:val="32"/>
                <w:szCs w:val="32"/>
              </w:rPr>
              <w:t>（三）上下联动，修复生态共建美丽乡村。创新生态修复项目服务模式，解决了“政府干不经济，企业干不持续”的问题。安吉农商银行从资金端切入，构建起政府、企业、银行三者之间的新型合作关系，通过流量引入形成了经济辐射效应，刺激消费经济发展，形成从格式化旅游到格局化旅游的跃升。</w:t>
            </w:r>
          </w:p>
          <w:p>
            <w:pPr>
              <w:ind w:firstLine="643" w:firstLineChars="200"/>
              <w:rPr>
                <w:rFonts w:eastAsia="仿宋_GB2312"/>
                <w:sz w:val="32"/>
                <w:szCs w:val="32"/>
              </w:rPr>
            </w:pPr>
            <w:r>
              <w:rPr>
                <w:rFonts w:eastAsia="仿宋_GB2312"/>
                <w:b/>
                <w:kern w:val="0"/>
                <w:sz w:val="32"/>
                <w:szCs w:val="32"/>
              </w:rPr>
              <w:t>三、主要成效：</w:t>
            </w:r>
          </w:p>
          <w:p>
            <w:pPr>
              <w:ind w:firstLine="640" w:firstLineChars="200"/>
              <w:rPr>
                <w:rFonts w:eastAsia="仿宋_GB2312"/>
                <w:color w:val="000000"/>
                <w:sz w:val="32"/>
                <w:szCs w:val="32"/>
              </w:rPr>
            </w:pPr>
            <w:r>
              <w:rPr>
                <w:rFonts w:hint="eastAsia" w:eastAsia="仿宋_GB2312"/>
                <w:color w:val="000000"/>
                <w:sz w:val="32"/>
                <w:szCs w:val="32"/>
              </w:rPr>
              <w:t>安吉农商银行金融支持生态修复，</w:t>
            </w:r>
            <w:r>
              <w:rPr>
                <w:rFonts w:eastAsia="仿宋_GB2312"/>
                <w:color w:val="000000"/>
                <w:sz w:val="32"/>
                <w:szCs w:val="32"/>
              </w:rPr>
              <w:t>推动“公益性较强、收益性差的生态环境治理项目”+“收益较好的关联产业”有效融合的模式，不仅缓解了区域内相关地质灾害隐患、大气粉尘污染及水污染等较为严重的环境生态问题，同时，废弃资源的改造还带动了咖啡餐饮、沙滩休闲等乡村旅游新业态快速发展，提供了大量就业岗位，乡村风貌逐步得到改善，乡村能级不断得到提升、美丽乡村不断得到巩固、乡村振兴成效不断凸显，是绿水青山转化为金山银山的有效实践。</w:t>
            </w:r>
          </w:p>
          <w:p>
            <w:pPr>
              <w:tabs>
                <w:tab w:val="left" w:pos="949"/>
              </w:tabs>
              <w:ind w:firstLine="643"/>
              <w:rPr>
                <w:rFonts w:eastAsia="仿宋_GB2312"/>
                <w:b/>
                <w:kern w:val="0"/>
                <w:sz w:val="32"/>
                <w:szCs w:val="32"/>
              </w:rPr>
            </w:pPr>
            <w:r>
              <w:rPr>
                <w:rFonts w:eastAsia="仿宋_GB2312"/>
                <w:b/>
                <w:kern w:val="0"/>
                <w:sz w:val="32"/>
                <w:szCs w:val="32"/>
              </w:rPr>
              <w:t>四、案例总结：</w:t>
            </w:r>
          </w:p>
          <w:p>
            <w:pPr>
              <w:ind w:firstLine="640" w:firstLineChars="200"/>
              <w:rPr>
                <w:rFonts w:eastAsia="仿宋_GB2312"/>
                <w:color w:val="000000"/>
                <w:sz w:val="32"/>
                <w:szCs w:val="32"/>
              </w:rPr>
            </w:pPr>
            <w:r>
              <w:rPr>
                <w:rFonts w:eastAsia="仿宋_GB2312"/>
                <w:color w:val="000000"/>
                <w:sz w:val="32"/>
                <w:szCs w:val="32"/>
              </w:rPr>
              <w:t>据遥感调查监测数据显示，全国矿山开采占用损毁土地超5400万亩，尤其是在南方丘陵地带，滑坡、山洪等灾害和塌陷事故频发。“人不负青山，青山定不负人。”安吉农商银行推出的“生态修复贷”，是ESG领域的有益探索，可为金融机构融入生态修复事业提供借鉴经验。</w:t>
            </w:r>
          </w:p>
          <w:p>
            <w:pPr>
              <w:pStyle w:val="2"/>
              <w:ind w:left="0" w:leftChars="0" w:firstLine="0" w:firstLineChars="0"/>
            </w:pPr>
          </w:p>
          <w:p>
            <w:pPr>
              <w:pStyle w:val="42"/>
              <w:spacing w:before="156" w:line="240" w:lineRule="auto"/>
              <w:ind w:firstLine="640"/>
              <w:rPr>
                <w:rFonts w:ascii="Times New Roman" w:eastAsia="仿宋_GB2312"/>
                <w:szCs w:val="32"/>
                <w:u w:val="none"/>
              </w:rPr>
            </w:pPr>
            <w:bookmarkStart w:id="133" w:name="_Toc70665269"/>
            <w:bookmarkStart w:id="134" w:name="_Toc42012355"/>
            <w:bookmarkStart w:id="135" w:name="_Toc5400"/>
            <w:r>
              <w:rPr>
                <w:rFonts w:ascii="Times New Roman" w:eastAsia="黑体"/>
                <w:szCs w:val="32"/>
                <w:u w:val="none"/>
              </w:rPr>
              <w:t>案例2：</w:t>
            </w:r>
            <w:bookmarkEnd w:id="133"/>
            <w:bookmarkEnd w:id="134"/>
            <w:r>
              <w:rPr>
                <w:rFonts w:ascii="Times New Roman"/>
                <w:lang w:eastAsia="zh-Hans"/>
              </w:rPr>
              <w:t>绿色普惠金融支持“以竹代塑”引领绿色生活新风尚</w:t>
            </w:r>
            <w:bookmarkEnd w:id="135"/>
          </w:p>
          <w:p>
            <w:pPr>
              <w:numPr>
                <w:ilvl w:val="0"/>
                <w:numId w:val="1"/>
              </w:numPr>
              <w:rPr>
                <w:rFonts w:eastAsia="仿宋_GB2312"/>
                <w:b/>
                <w:kern w:val="0"/>
                <w:sz w:val="32"/>
                <w:szCs w:val="32"/>
              </w:rPr>
            </w:pPr>
            <w:r>
              <w:rPr>
                <w:rFonts w:eastAsia="仿宋_GB2312"/>
                <w:b/>
                <w:kern w:val="0"/>
                <w:sz w:val="32"/>
                <w:szCs w:val="32"/>
              </w:rPr>
              <w:t>案例背景：</w:t>
            </w:r>
          </w:p>
          <w:p>
            <w:pPr>
              <w:pStyle w:val="2"/>
              <w:ind w:left="0" w:leftChars="0" w:firstLine="640"/>
              <w:rPr>
                <w:rFonts w:eastAsia="仿宋_GB2312"/>
                <w:color w:val="000000"/>
                <w:sz w:val="32"/>
                <w:szCs w:val="32"/>
              </w:rPr>
            </w:pPr>
            <w:r>
              <w:rPr>
                <w:rFonts w:eastAsia="仿宋_GB2312"/>
                <w:color w:val="000000"/>
                <w:sz w:val="32"/>
                <w:szCs w:val="32"/>
              </w:rPr>
              <w:t>生活中塑料制品随处可见,它给生活带来了很多便利，但塑料垃圾因其难降解的特性随着生态循环，最终塑料成分又回归人体，对身体健康造成伤害，因此，减少塑料制品的使用成为大势所趋。2022年11月，国家主席习近平向国际竹藤组织致贺信时指出，中国政府将同国际竹藤组织携手共同发起“以竹代塑”倡议，推动减少塑料污染，应对气候变化，加快落实联合国2030年可持续发展议程。</w:t>
            </w:r>
          </w:p>
          <w:p>
            <w:pPr>
              <w:pStyle w:val="2"/>
              <w:ind w:left="0" w:leftChars="0" w:firstLine="640"/>
              <w:rPr>
                <w:rFonts w:eastAsia="仿宋_GB2312"/>
                <w:color w:val="000000"/>
                <w:sz w:val="32"/>
                <w:szCs w:val="32"/>
              </w:rPr>
            </w:pPr>
            <w:r>
              <w:rPr>
                <w:rFonts w:eastAsia="仿宋_GB2312"/>
                <w:color w:val="000000"/>
                <w:sz w:val="32"/>
                <w:szCs w:val="32"/>
              </w:rPr>
              <w:t>安吉是中国第一竹乡，近年来，安吉县积极响应“以竹代塑”倡议，探索生态价值实现新机制，推进竹产业二次振兴。聚焦安吉县《“以竹代塑”推进竹制品应用推广实施意见》，安吉农商银行靠前服务，充分发挥绿色普惠金融撬动竹产业转型升级作用，构建“党政统领、行</w:t>
            </w:r>
            <w:r>
              <w:rPr>
                <w:rFonts w:eastAsia="仿宋_GB2312"/>
                <w:color w:val="000000"/>
                <w:sz w:val="32"/>
                <w:szCs w:val="32"/>
                <w:highlight w:val="none"/>
              </w:rPr>
              <w:t>业主体、市场参与、金融支持、全民推广”的模式，从生产端、流通端、消费端助推“以竹代塑”，打开绿色普惠新路径，引领绿</w:t>
            </w:r>
            <w:r>
              <w:rPr>
                <w:rFonts w:eastAsia="仿宋_GB2312"/>
                <w:color w:val="000000"/>
                <w:sz w:val="32"/>
                <w:szCs w:val="32"/>
              </w:rPr>
              <w:t>色生活新风尚。</w:t>
            </w:r>
          </w:p>
          <w:p>
            <w:pPr>
              <w:ind w:left="420" w:leftChars="200"/>
              <w:rPr>
                <w:rFonts w:eastAsia="仿宋_GB2312"/>
                <w:sz w:val="32"/>
                <w:szCs w:val="32"/>
              </w:rPr>
            </w:pPr>
            <w:r>
              <w:rPr>
                <w:rFonts w:eastAsia="仿宋_GB2312"/>
                <w:b/>
                <w:kern w:val="0"/>
                <w:sz w:val="32"/>
                <w:szCs w:val="32"/>
              </w:rPr>
              <w:t>二、主要做法：</w:t>
            </w:r>
          </w:p>
          <w:p>
            <w:pPr>
              <w:pStyle w:val="2"/>
              <w:ind w:left="0" w:leftChars="0" w:firstLine="640"/>
              <w:rPr>
                <w:rFonts w:eastAsia="仿宋_GB2312"/>
                <w:color w:val="000000"/>
                <w:sz w:val="32"/>
                <w:szCs w:val="32"/>
              </w:rPr>
            </w:pPr>
            <w:r>
              <w:rPr>
                <w:rFonts w:eastAsia="仿宋_GB2312"/>
                <w:color w:val="000000"/>
                <w:sz w:val="32"/>
                <w:szCs w:val="32"/>
              </w:rPr>
              <w:t>（一）在“源头”上助突破。每年单列不低于3亿元专项信贷资金，支持“以竹代塑”企业技术创新、生产高品质产品。同时，利用专业知识，为企业提供绿色环保咨询服务，协助进行绿色认证和环境评估，提升市场竞争力。</w:t>
            </w:r>
          </w:p>
          <w:p>
            <w:pPr>
              <w:pStyle w:val="2"/>
              <w:ind w:left="0" w:leftChars="0" w:firstLine="640"/>
              <w:rPr>
                <w:rFonts w:eastAsia="仿宋_GB2312"/>
                <w:color w:val="000000"/>
                <w:sz w:val="32"/>
                <w:szCs w:val="32"/>
              </w:rPr>
            </w:pPr>
            <w:r>
              <w:rPr>
                <w:rFonts w:eastAsia="仿宋_GB2312"/>
                <w:color w:val="000000"/>
                <w:sz w:val="32"/>
                <w:szCs w:val="32"/>
              </w:rPr>
              <w:t>（二）在“流通”上拓场景。</w:t>
            </w:r>
            <w:r>
              <w:rPr>
                <w:rFonts w:hint="eastAsia" w:eastAsia="仿宋_GB2312"/>
                <w:color w:val="000000"/>
                <w:sz w:val="32"/>
                <w:szCs w:val="32"/>
              </w:rPr>
              <w:t>会同县发改局、市场监管局等部门，联合制定实施《安吉县农贸市场“以竹代塑”应用推广实施方案》，推进金融赋能农贸市场绿色转型。同时，线下利用丰收驿站搭建“以竹代塑”产品展销点；线上助力电商建立“以竹代塑”产品网络营销平台，拓宽采购渠道，全方位扩大竹制品流通市场。</w:t>
            </w:r>
          </w:p>
          <w:p>
            <w:pPr>
              <w:pStyle w:val="2"/>
              <w:ind w:left="0" w:leftChars="0" w:firstLine="640"/>
              <w:rPr>
                <w:rFonts w:eastAsia="仿宋_GB2312"/>
                <w:color w:val="000000"/>
                <w:sz w:val="32"/>
                <w:szCs w:val="32"/>
              </w:rPr>
            </w:pPr>
            <w:r>
              <w:rPr>
                <w:rFonts w:eastAsia="仿宋_GB2312"/>
                <w:color w:val="000000"/>
                <w:sz w:val="32"/>
                <w:szCs w:val="32"/>
              </w:rPr>
              <w:t>（三）在“消费”上重引导。</w:t>
            </w:r>
            <w:r>
              <w:rPr>
                <w:rFonts w:eastAsia="仿宋_GB2312"/>
                <w:color w:val="000000"/>
                <w:sz w:val="32"/>
                <w:szCs w:val="32"/>
                <w:lang w:val="zh-TW"/>
              </w:rPr>
              <w:t>居民可用自身绿色行为获得的“两山绿币”，在全县范围内兑换“以竹代塑”产品。另商户在采购“以竹代塑”产品时，本行又以“两山绿币”给予激励，降低商户经营成本。</w:t>
            </w:r>
          </w:p>
          <w:p>
            <w:pPr>
              <w:tabs>
                <w:tab w:val="left" w:pos="949"/>
              </w:tabs>
              <w:ind w:firstLine="643"/>
              <w:rPr>
                <w:rFonts w:eastAsia="仿宋_GB2312"/>
                <w:sz w:val="32"/>
                <w:szCs w:val="32"/>
              </w:rPr>
            </w:pPr>
            <w:r>
              <w:rPr>
                <w:rFonts w:eastAsia="仿宋_GB2312"/>
                <w:b/>
                <w:kern w:val="0"/>
                <w:sz w:val="32"/>
                <w:szCs w:val="32"/>
              </w:rPr>
              <w:t>三、主要成效：</w:t>
            </w:r>
          </w:p>
          <w:p>
            <w:pPr>
              <w:widowControl/>
              <w:ind w:firstLine="640" w:firstLineChars="200"/>
              <w:rPr>
                <w:rFonts w:eastAsia="仿宋_GB2312"/>
                <w:color w:val="000000"/>
                <w:sz w:val="32"/>
                <w:szCs w:val="32"/>
                <w:lang w:val="zh-TW"/>
              </w:rPr>
            </w:pPr>
            <w:r>
              <w:rPr>
                <w:rFonts w:eastAsia="仿宋_GB2312"/>
                <w:color w:val="000000"/>
                <w:sz w:val="32"/>
                <w:szCs w:val="32"/>
                <w:lang w:val="zh-TW"/>
              </w:rPr>
              <w:t>安吉农商银行作为唯一一家金融机构参与县域“以竹代塑”专项支持活动，针对安吉一次性餐具薄膜治理工作，积极对接相关生产企业并开通绿色信贷通道。此外，安吉农商银行引导辖内企业创新开发基于物理方式的环保友好型毛竹原竹纤维提取技术，目前，该项技术已通过欧盟RoHS认证（欧洲环保指令），这不仅对安吉县竹产业转型升级提供另外一种途径，也为推广“以竹代塑”提供了原材料。</w:t>
            </w:r>
          </w:p>
          <w:p>
            <w:pPr>
              <w:tabs>
                <w:tab w:val="left" w:pos="949"/>
              </w:tabs>
              <w:ind w:firstLine="643"/>
              <w:rPr>
                <w:rFonts w:eastAsia="仿宋_GB2312"/>
                <w:sz w:val="32"/>
                <w:szCs w:val="32"/>
              </w:rPr>
            </w:pPr>
            <w:r>
              <w:rPr>
                <w:rFonts w:eastAsia="仿宋_GB2312"/>
                <w:b/>
                <w:kern w:val="0"/>
                <w:sz w:val="32"/>
                <w:szCs w:val="32"/>
              </w:rPr>
              <w:t>四、案例总结：</w:t>
            </w:r>
            <w:r>
              <w:rPr>
                <w:rFonts w:eastAsia="仿宋_GB2312"/>
                <w:sz w:val="32"/>
                <w:szCs w:val="32"/>
              </w:rPr>
              <w:t xml:space="preserve"> </w:t>
            </w:r>
          </w:p>
          <w:p>
            <w:pPr>
              <w:widowControl/>
              <w:ind w:firstLine="640" w:firstLineChars="200"/>
              <w:rPr>
                <w:rFonts w:eastAsia="仿宋_GB2312"/>
                <w:sz w:val="32"/>
                <w:szCs w:val="32"/>
                <w:u w:color="000000"/>
                <w:lang w:val="zh-TW"/>
              </w:rPr>
            </w:pPr>
            <w:r>
              <w:rPr>
                <w:rFonts w:eastAsia="仿宋_GB2312"/>
                <w:color w:val="000000"/>
                <w:sz w:val="32"/>
                <w:szCs w:val="32"/>
                <w:lang w:val="zh-TW"/>
              </w:rPr>
              <w:t>安吉农商银行支持“以竹代塑”探索实践是绿色金融、普惠金融、数字金融的有效结合，作为县域金融主力军，用在“源头”上助突破，在“流通”上拓场景，在“消费”上重引导的方式，全力助推“以竹代塑”高质量发展，并及时总结，形成可复制推广的经验，为打造生态文明典范城市贡献金融力量。</w:t>
            </w:r>
          </w:p>
        </w:tc>
      </w:tr>
    </w:tbl>
    <w:p>
      <w:pPr>
        <w:pStyle w:val="4"/>
        <w:ind w:firstLine="640"/>
        <w:rPr>
          <w:rFonts w:ascii="Times New Roman" w:hAnsi="Times New Roman"/>
        </w:rPr>
      </w:pPr>
      <w:bookmarkStart w:id="136" w:name="_Toc2875"/>
      <w:bookmarkStart w:id="137" w:name="_Toc70665270"/>
      <w:r>
        <w:rPr>
          <w:rFonts w:ascii="Times New Roman" w:hAnsi="Times New Roman"/>
          <w:color w:val="000000"/>
          <w:u w:color="000000"/>
          <w:lang w:val="en-US"/>
        </w:rPr>
        <w:t>9绿色项目</w:t>
      </w:r>
      <w:bookmarkEnd w:id="136"/>
      <w:bookmarkEnd w:id="137"/>
    </w:p>
    <w:p>
      <w:pPr>
        <w:spacing w:line="560" w:lineRule="exact"/>
        <w:ind w:firstLine="640" w:firstLineChars="200"/>
        <w:rPr>
          <w:rFonts w:eastAsia="仿宋_GB2312"/>
          <w:color w:val="000000"/>
          <w:sz w:val="32"/>
          <w:szCs w:val="32"/>
          <w:u w:color="000000"/>
          <w:lang w:val="zh-TW"/>
        </w:rPr>
      </w:pPr>
      <w:r>
        <w:rPr>
          <w:rFonts w:eastAsia="仿宋_GB2312"/>
          <w:sz w:val="32"/>
          <w:szCs w:val="32"/>
          <w:u w:color="000000"/>
          <w:lang w:val="zh-TW"/>
        </w:rPr>
        <w:t>截</w:t>
      </w:r>
      <w:r>
        <w:rPr>
          <w:rFonts w:hint="eastAsia" w:eastAsia="仿宋_GB2312"/>
          <w:color w:val="000000"/>
          <w:sz w:val="32"/>
          <w:szCs w:val="32"/>
          <w:u w:color="000000"/>
          <w:lang w:val="zh-TW"/>
        </w:rPr>
        <w:t>至2023年12月末，本行无1亿元以上绿色项目贷款。</w:t>
      </w:r>
    </w:p>
    <w:p>
      <w:pPr>
        <w:rPr>
          <w:rFonts w:eastAsia="仿宋_GB2312"/>
          <w:color w:val="000000"/>
          <w:sz w:val="32"/>
          <w:szCs w:val="32"/>
          <w:u w:color="000000"/>
          <w:lang w:val="zh-TW"/>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30</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30</w:t>
                          </w:r>
                          <w:r>
                            <w:rPr>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30</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30</w:t>
                    </w:r>
                    <w:r>
                      <w:rPr>
                        <w:bCs/>
                        <w:sz w:val="24"/>
                        <w:szCs w:val="24"/>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00C93"/>
    <w:multiLevelType w:val="singleLevel"/>
    <w:tmpl w:val="CD400C93"/>
    <w:lvl w:ilvl="0" w:tentative="0">
      <w:start w:val="2"/>
      <w:numFmt w:val="chineseCounting"/>
      <w:suff w:val="nothing"/>
      <w:lvlText w:val="%1、"/>
      <w:lvlJc w:val="left"/>
      <w:rPr>
        <w:rFonts w:hint="eastAsia"/>
      </w:rPr>
    </w:lvl>
  </w:abstractNum>
  <w:abstractNum w:abstractNumId="1">
    <w:nsid w:val="15A6358D"/>
    <w:multiLevelType w:val="multilevel"/>
    <w:tmpl w:val="15A6358D"/>
    <w:lvl w:ilvl="0" w:tentative="0">
      <w:start w:val="1"/>
      <w:numFmt w:val="none"/>
      <w:lvlText w:val="一、"/>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ZjFlM2I5MGM4MzJkOTI0ODI5YzFkYWMxOWMzNjYifQ=="/>
  </w:docVars>
  <w:rsids>
    <w:rsidRoot w:val="32091D66"/>
    <w:rsid w:val="000329C2"/>
    <w:rsid w:val="000601BB"/>
    <w:rsid w:val="000A1224"/>
    <w:rsid w:val="000A131E"/>
    <w:rsid w:val="000C1D1C"/>
    <w:rsid w:val="000D46BC"/>
    <w:rsid w:val="000E0631"/>
    <w:rsid w:val="000F50DC"/>
    <w:rsid w:val="000F5550"/>
    <w:rsid w:val="00101E79"/>
    <w:rsid w:val="00116EFC"/>
    <w:rsid w:val="00125120"/>
    <w:rsid w:val="00125684"/>
    <w:rsid w:val="0014764F"/>
    <w:rsid w:val="00153BEA"/>
    <w:rsid w:val="00167D20"/>
    <w:rsid w:val="0017180F"/>
    <w:rsid w:val="00173601"/>
    <w:rsid w:val="0018443A"/>
    <w:rsid w:val="001951B0"/>
    <w:rsid w:val="001E1CE0"/>
    <w:rsid w:val="001E4134"/>
    <w:rsid w:val="0020046F"/>
    <w:rsid w:val="002228D4"/>
    <w:rsid w:val="00234AF0"/>
    <w:rsid w:val="002355CB"/>
    <w:rsid w:val="00257402"/>
    <w:rsid w:val="00277678"/>
    <w:rsid w:val="002824D6"/>
    <w:rsid w:val="00284587"/>
    <w:rsid w:val="00293998"/>
    <w:rsid w:val="002C7E15"/>
    <w:rsid w:val="002E6D26"/>
    <w:rsid w:val="003028EA"/>
    <w:rsid w:val="00321DD8"/>
    <w:rsid w:val="00337D30"/>
    <w:rsid w:val="00377D0E"/>
    <w:rsid w:val="003A37C7"/>
    <w:rsid w:val="003A3E62"/>
    <w:rsid w:val="003A6397"/>
    <w:rsid w:val="003D1BF0"/>
    <w:rsid w:val="003E111C"/>
    <w:rsid w:val="00406875"/>
    <w:rsid w:val="004164CF"/>
    <w:rsid w:val="0046268C"/>
    <w:rsid w:val="004756A4"/>
    <w:rsid w:val="0049740F"/>
    <w:rsid w:val="004B08D9"/>
    <w:rsid w:val="00504873"/>
    <w:rsid w:val="00510A73"/>
    <w:rsid w:val="00533546"/>
    <w:rsid w:val="00533B1C"/>
    <w:rsid w:val="00545C47"/>
    <w:rsid w:val="00585EE0"/>
    <w:rsid w:val="005D241D"/>
    <w:rsid w:val="005E17A1"/>
    <w:rsid w:val="005E2DFC"/>
    <w:rsid w:val="005E3D35"/>
    <w:rsid w:val="00612173"/>
    <w:rsid w:val="00617801"/>
    <w:rsid w:val="00620111"/>
    <w:rsid w:val="0063581D"/>
    <w:rsid w:val="006436BC"/>
    <w:rsid w:val="00656EA5"/>
    <w:rsid w:val="006660B9"/>
    <w:rsid w:val="00693520"/>
    <w:rsid w:val="006B7904"/>
    <w:rsid w:val="006C7535"/>
    <w:rsid w:val="006D76B9"/>
    <w:rsid w:val="0070364C"/>
    <w:rsid w:val="007136C2"/>
    <w:rsid w:val="0072284C"/>
    <w:rsid w:val="00753F86"/>
    <w:rsid w:val="00794AB2"/>
    <w:rsid w:val="00795406"/>
    <w:rsid w:val="007B19DF"/>
    <w:rsid w:val="007B7DAE"/>
    <w:rsid w:val="007E08AB"/>
    <w:rsid w:val="007E4A7E"/>
    <w:rsid w:val="007E6BC0"/>
    <w:rsid w:val="0080233B"/>
    <w:rsid w:val="00810B21"/>
    <w:rsid w:val="00814E25"/>
    <w:rsid w:val="008205DE"/>
    <w:rsid w:val="00822393"/>
    <w:rsid w:val="008626C0"/>
    <w:rsid w:val="00876052"/>
    <w:rsid w:val="008846AD"/>
    <w:rsid w:val="008872B2"/>
    <w:rsid w:val="008A623B"/>
    <w:rsid w:val="008C107F"/>
    <w:rsid w:val="008C25FD"/>
    <w:rsid w:val="008D09B3"/>
    <w:rsid w:val="009236AE"/>
    <w:rsid w:val="00923833"/>
    <w:rsid w:val="00926FDF"/>
    <w:rsid w:val="009410B0"/>
    <w:rsid w:val="0096728D"/>
    <w:rsid w:val="00996E99"/>
    <w:rsid w:val="009B4ACC"/>
    <w:rsid w:val="009B5036"/>
    <w:rsid w:val="009C72E1"/>
    <w:rsid w:val="009F4D84"/>
    <w:rsid w:val="009F707A"/>
    <w:rsid w:val="00A0796A"/>
    <w:rsid w:val="00A40542"/>
    <w:rsid w:val="00A46331"/>
    <w:rsid w:val="00A47314"/>
    <w:rsid w:val="00A56C0E"/>
    <w:rsid w:val="00A612ED"/>
    <w:rsid w:val="00A617E1"/>
    <w:rsid w:val="00AB205D"/>
    <w:rsid w:val="00B13A13"/>
    <w:rsid w:val="00B653F2"/>
    <w:rsid w:val="00B96004"/>
    <w:rsid w:val="00BA0599"/>
    <w:rsid w:val="00BA5C72"/>
    <w:rsid w:val="00BE1C6A"/>
    <w:rsid w:val="00BF0E8C"/>
    <w:rsid w:val="00C00026"/>
    <w:rsid w:val="00C129B0"/>
    <w:rsid w:val="00C422F6"/>
    <w:rsid w:val="00C721F8"/>
    <w:rsid w:val="00C824A7"/>
    <w:rsid w:val="00C860FA"/>
    <w:rsid w:val="00CA098D"/>
    <w:rsid w:val="00CA4EE9"/>
    <w:rsid w:val="00CB56A3"/>
    <w:rsid w:val="00D4220E"/>
    <w:rsid w:val="00D86D02"/>
    <w:rsid w:val="00D96F43"/>
    <w:rsid w:val="00DA7127"/>
    <w:rsid w:val="00DC54B0"/>
    <w:rsid w:val="00DD05E5"/>
    <w:rsid w:val="00E03EA0"/>
    <w:rsid w:val="00E0440F"/>
    <w:rsid w:val="00E07512"/>
    <w:rsid w:val="00E2791A"/>
    <w:rsid w:val="00E36ACD"/>
    <w:rsid w:val="00E55D49"/>
    <w:rsid w:val="00E61EAD"/>
    <w:rsid w:val="00E712B3"/>
    <w:rsid w:val="00E82AFB"/>
    <w:rsid w:val="00E90B7F"/>
    <w:rsid w:val="00EA5AFA"/>
    <w:rsid w:val="00EA751B"/>
    <w:rsid w:val="00EB22CB"/>
    <w:rsid w:val="00EC382A"/>
    <w:rsid w:val="00ED5301"/>
    <w:rsid w:val="00EE4369"/>
    <w:rsid w:val="00F46DB3"/>
    <w:rsid w:val="00F526F1"/>
    <w:rsid w:val="00F804CC"/>
    <w:rsid w:val="00F85B88"/>
    <w:rsid w:val="00F9234D"/>
    <w:rsid w:val="00F94E15"/>
    <w:rsid w:val="00FA0F0A"/>
    <w:rsid w:val="00FA573D"/>
    <w:rsid w:val="00FD5793"/>
    <w:rsid w:val="00FF03E1"/>
    <w:rsid w:val="01814321"/>
    <w:rsid w:val="01CA3F1A"/>
    <w:rsid w:val="023E367D"/>
    <w:rsid w:val="027F6AB2"/>
    <w:rsid w:val="03BB2529"/>
    <w:rsid w:val="041D1E8F"/>
    <w:rsid w:val="04C12C82"/>
    <w:rsid w:val="05376DC5"/>
    <w:rsid w:val="06426774"/>
    <w:rsid w:val="07AC659B"/>
    <w:rsid w:val="08161C67"/>
    <w:rsid w:val="092D1E0F"/>
    <w:rsid w:val="097846E4"/>
    <w:rsid w:val="09842C00"/>
    <w:rsid w:val="0A285C81"/>
    <w:rsid w:val="0AAB766A"/>
    <w:rsid w:val="0AEC7FF8"/>
    <w:rsid w:val="0AEE6B75"/>
    <w:rsid w:val="0BAD28E2"/>
    <w:rsid w:val="0BC030EF"/>
    <w:rsid w:val="0BC83278"/>
    <w:rsid w:val="0BF73B5D"/>
    <w:rsid w:val="0BFC6504"/>
    <w:rsid w:val="0C992C37"/>
    <w:rsid w:val="0DE311B6"/>
    <w:rsid w:val="0E0C0D2B"/>
    <w:rsid w:val="0E9A0706"/>
    <w:rsid w:val="0EED67CB"/>
    <w:rsid w:val="0F625791"/>
    <w:rsid w:val="109C4CD3"/>
    <w:rsid w:val="11000A34"/>
    <w:rsid w:val="115253E7"/>
    <w:rsid w:val="124C53BF"/>
    <w:rsid w:val="135B0D44"/>
    <w:rsid w:val="13C1778D"/>
    <w:rsid w:val="14103A0E"/>
    <w:rsid w:val="14353475"/>
    <w:rsid w:val="155B4A7D"/>
    <w:rsid w:val="164C3300"/>
    <w:rsid w:val="1688472D"/>
    <w:rsid w:val="17146F23"/>
    <w:rsid w:val="1784381E"/>
    <w:rsid w:val="195C6C8F"/>
    <w:rsid w:val="19772A79"/>
    <w:rsid w:val="19B47531"/>
    <w:rsid w:val="19FB6838"/>
    <w:rsid w:val="1A5003B0"/>
    <w:rsid w:val="1B5F12B0"/>
    <w:rsid w:val="1BB90E2F"/>
    <w:rsid w:val="1BD47A17"/>
    <w:rsid w:val="1C220782"/>
    <w:rsid w:val="1C4A5188"/>
    <w:rsid w:val="1C89778E"/>
    <w:rsid w:val="1D60264F"/>
    <w:rsid w:val="1D62071D"/>
    <w:rsid w:val="1EB20626"/>
    <w:rsid w:val="202577FD"/>
    <w:rsid w:val="208C266E"/>
    <w:rsid w:val="21924322"/>
    <w:rsid w:val="21CC6196"/>
    <w:rsid w:val="22F504E6"/>
    <w:rsid w:val="233D2346"/>
    <w:rsid w:val="236C49D9"/>
    <w:rsid w:val="237819DD"/>
    <w:rsid w:val="23D72CE5"/>
    <w:rsid w:val="2476679E"/>
    <w:rsid w:val="249146F7"/>
    <w:rsid w:val="25900618"/>
    <w:rsid w:val="26CD7D8A"/>
    <w:rsid w:val="26E2748C"/>
    <w:rsid w:val="274D0A16"/>
    <w:rsid w:val="286B1A6F"/>
    <w:rsid w:val="28DE1ED5"/>
    <w:rsid w:val="299B6018"/>
    <w:rsid w:val="2A471763"/>
    <w:rsid w:val="2A495A74"/>
    <w:rsid w:val="2A726D79"/>
    <w:rsid w:val="2AD12AEE"/>
    <w:rsid w:val="2B595843"/>
    <w:rsid w:val="2B8A1EA0"/>
    <w:rsid w:val="2BB340BE"/>
    <w:rsid w:val="2C2071EA"/>
    <w:rsid w:val="2CE91CA3"/>
    <w:rsid w:val="2D1B54A6"/>
    <w:rsid w:val="2D945258"/>
    <w:rsid w:val="2D962D7E"/>
    <w:rsid w:val="2E1F2D74"/>
    <w:rsid w:val="2E291E44"/>
    <w:rsid w:val="2E8A384A"/>
    <w:rsid w:val="2EDC0C65"/>
    <w:rsid w:val="2EDC6C82"/>
    <w:rsid w:val="2F4B5DEA"/>
    <w:rsid w:val="2FAF45CB"/>
    <w:rsid w:val="30442F65"/>
    <w:rsid w:val="307B44AD"/>
    <w:rsid w:val="31F42567"/>
    <w:rsid w:val="32026C34"/>
    <w:rsid w:val="32091D66"/>
    <w:rsid w:val="32E36BD1"/>
    <w:rsid w:val="3341378C"/>
    <w:rsid w:val="34833930"/>
    <w:rsid w:val="34EB1C02"/>
    <w:rsid w:val="354561B4"/>
    <w:rsid w:val="370B6585"/>
    <w:rsid w:val="37B502A5"/>
    <w:rsid w:val="37B564F7"/>
    <w:rsid w:val="37C329C2"/>
    <w:rsid w:val="384A6801"/>
    <w:rsid w:val="386012D7"/>
    <w:rsid w:val="38CD161E"/>
    <w:rsid w:val="390C2146"/>
    <w:rsid w:val="3A4B1B6C"/>
    <w:rsid w:val="3A891A84"/>
    <w:rsid w:val="3B7566C9"/>
    <w:rsid w:val="3BA66882"/>
    <w:rsid w:val="3C3C7CEC"/>
    <w:rsid w:val="3C601127"/>
    <w:rsid w:val="3CA449FA"/>
    <w:rsid w:val="3E8068BD"/>
    <w:rsid w:val="3F724CCD"/>
    <w:rsid w:val="3F7E3672"/>
    <w:rsid w:val="4092099C"/>
    <w:rsid w:val="41726AB6"/>
    <w:rsid w:val="423170C2"/>
    <w:rsid w:val="424B1F31"/>
    <w:rsid w:val="42B530EB"/>
    <w:rsid w:val="43884ABF"/>
    <w:rsid w:val="43BF2BD7"/>
    <w:rsid w:val="449233F0"/>
    <w:rsid w:val="44AB7B40"/>
    <w:rsid w:val="462C207A"/>
    <w:rsid w:val="474D04FA"/>
    <w:rsid w:val="489623CE"/>
    <w:rsid w:val="48CE1E02"/>
    <w:rsid w:val="4AC31639"/>
    <w:rsid w:val="4BEF740F"/>
    <w:rsid w:val="4C4F7C2C"/>
    <w:rsid w:val="4C8F17AC"/>
    <w:rsid w:val="4CD86AB8"/>
    <w:rsid w:val="4D221AE1"/>
    <w:rsid w:val="4D8B20C6"/>
    <w:rsid w:val="4DC813F1"/>
    <w:rsid w:val="4E192CE9"/>
    <w:rsid w:val="4F0957C0"/>
    <w:rsid w:val="50F9756B"/>
    <w:rsid w:val="517519BA"/>
    <w:rsid w:val="52D63F42"/>
    <w:rsid w:val="532C190B"/>
    <w:rsid w:val="53C26FC0"/>
    <w:rsid w:val="542B531F"/>
    <w:rsid w:val="55C45E2B"/>
    <w:rsid w:val="55C85922"/>
    <w:rsid w:val="56EA6E39"/>
    <w:rsid w:val="57480A98"/>
    <w:rsid w:val="57F87DC0"/>
    <w:rsid w:val="586D09FC"/>
    <w:rsid w:val="589436C6"/>
    <w:rsid w:val="58A27F7A"/>
    <w:rsid w:val="59C83A10"/>
    <w:rsid w:val="59EA1BD8"/>
    <w:rsid w:val="5A4E660B"/>
    <w:rsid w:val="5A551748"/>
    <w:rsid w:val="5AC16DDD"/>
    <w:rsid w:val="5AFB7D2F"/>
    <w:rsid w:val="5B4926A2"/>
    <w:rsid w:val="5CC42BB4"/>
    <w:rsid w:val="5D2673CB"/>
    <w:rsid w:val="5D521F6E"/>
    <w:rsid w:val="5D5C2DED"/>
    <w:rsid w:val="5EE17A4E"/>
    <w:rsid w:val="5F2416E8"/>
    <w:rsid w:val="5F670F08"/>
    <w:rsid w:val="5FEA39A0"/>
    <w:rsid w:val="61BC6F5D"/>
    <w:rsid w:val="61CB0541"/>
    <w:rsid w:val="622A34BA"/>
    <w:rsid w:val="6279194B"/>
    <w:rsid w:val="64D8544F"/>
    <w:rsid w:val="64E21E2A"/>
    <w:rsid w:val="65355974"/>
    <w:rsid w:val="67E4235D"/>
    <w:rsid w:val="68B73552"/>
    <w:rsid w:val="68BE7F21"/>
    <w:rsid w:val="692A3D9F"/>
    <w:rsid w:val="696E6382"/>
    <w:rsid w:val="696F1F2A"/>
    <w:rsid w:val="6A641018"/>
    <w:rsid w:val="6BD821D8"/>
    <w:rsid w:val="6BEA3251"/>
    <w:rsid w:val="6CAD0F1B"/>
    <w:rsid w:val="6D2B4915"/>
    <w:rsid w:val="6D3A657B"/>
    <w:rsid w:val="6E461CB0"/>
    <w:rsid w:val="6E535B46"/>
    <w:rsid w:val="6EF9081B"/>
    <w:rsid w:val="6F086931"/>
    <w:rsid w:val="6FD827A7"/>
    <w:rsid w:val="70B14834"/>
    <w:rsid w:val="71D05043"/>
    <w:rsid w:val="72233A82"/>
    <w:rsid w:val="72D8486C"/>
    <w:rsid w:val="734939BC"/>
    <w:rsid w:val="73C17CAD"/>
    <w:rsid w:val="740A7B07"/>
    <w:rsid w:val="752B3379"/>
    <w:rsid w:val="7612316F"/>
    <w:rsid w:val="764F1C9A"/>
    <w:rsid w:val="767C5D6C"/>
    <w:rsid w:val="76F123A0"/>
    <w:rsid w:val="772306F8"/>
    <w:rsid w:val="773A213A"/>
    <w:rsid w:val="77E405F1"/>
    <w:rsid w:val="77F4772F"/>
    <w:rsid w:val="7844007F"/>
    <w:rsid w:val="7ADE49EA"/>
    <w:rsid w:val="7B452CBB"/>
    <w:rsid w:val="7B5B24DE"/>
    <w:rsid w:val="7B5E25C8"/>
    <w:rsid w:val="7C196B1F"/>
    <w:rsid w:val="7D034BDB"/>
    <w:rsid w:val="7D713E18"/>
    <w:rsid w:val="7E813212"/>
    <w:rsid w:val="7EBFEC73"/>
    <w:rsid w:val="BCEFA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autoRedefine/>
    <w:qFormat/>
    <w:uiPriority w:val="9"/>
    <w:pPr>
      <w:tabs>
        <w:tab w:val="left" w:pos="949"/>
      </w:tabs>
      <w:spacing w:line="560" w:lineRule="exact"/>
      <w:ind w:firstLine="200" w:firstLineChars="200"/>
      <w:outlineLvl w:val="0"/>
    </w:pPr>
    <w:rPr>
      <w:rFonts w:ascii="黑体" w:hAnsi="黑体" w:eastAsia="黑体"/>
      <w:sz w:val="32"/>
      <w:szCs w:val="32"/>
      <w:lang w:val="zh-TW"/>
    </w:rPr>
  </w:style>
  <w:style w:type="paragraph" w:styleId="5">
    <w:name w:val="heading 2"/>
    <w:basedOn w:val="1"/>
    <w:next w:val="1"/>
    <w:link w:val="27"/>
    <w:autoRedefine/>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5"/>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6">
    <w:name w:val="annotation text"/>
    <w:basedOn w:val="1"/>
    <w:autoRedefine/>
    <w:semiHidden/>
    <w:unhideWhenUsed/>
    <w:qFormat/>
    <w:uiPriority w:val="99"/>
    <w:pPr>
      <w:jc w:val="left"/>
    </w:pPr>
  </w:style>
  <w:style w:type="paragraph" w:styleId="7">
    <w:name w:val="Body Text"/>
    <w:basedOn w:val="1"/>
    <w:next w:val="8"/>
    <w:autoRedefine/>
    <w:qFormat/>
    <w:uiPriority w:val="0"/>
    <w:pPr>
      <w:spacing w:before="236"/>
      <w:ind w:left="120"/>
    </w:pPr>
    <w:rPr>
      <w:rFonts w:ascii="宋体" w:hAnsi="宋体"/>
      <w:sz w:val="28"/>
      <w:szCs w:val="28"/>
    </w:rPr>
  </w:style>
  <w:style w:type="paragraph" w:customStyle="1" w:styleId="8">
    <w:name w:val="_Style 3"/>
    <w:basedOn w:val="1"/>
    <w:autoRedefine/>
    <w:qFormat/>
    <w:uiPriority w:val="34"/>
    <w:pPr>
      <w:ind w:firstLine="420" w:firstLineChars="200"/>
    </w:pPr>
  </w:style>
  <w:style w:type="paragraph" w:styleId="9">
    <w:name w:val="toc 3"/>
    <w:basedOn w:val="1"/>
    <w:next w:val="1"/>
    <w:autoRedefine/>
    <w:unhideWhenUsed/>
    <w:qFormat/>
    <w:uiPriority w:val="39"/>
    <w:pPr>
      <w:ind w:left="840" w:leftChars="400"/>
    </w:pPr>
  </w:style>
  <w:style w:type="paragraph" w:styleId="10">
    <w:name w:val="Balloon Text"/>
    <w:basedOn w:val="1"/>
    <w:link w:val="28"/>
    <w:autoRedefine/>
    <w:unhideWhenUsed/>
    <w:qFormat/>
    <w:uiPriority w:val="99"/>
    <w:rPr>
      <w:sz w:val="18"/>
      <w:szCs w:val="18"/>
    </w:rPr>
  </w:style>
  <w:style w:type="paragraph" w:styleId="11">
    <w:name w:val="footer"/>
    <w:basedOn w:val="1"/>
    <w:link w:val="29"/>
    <w:autoRedefine/>
    <w:unhideWhenUsed/>
    <w:qFormat/>
    <w:uiPriority w:val="99"/>
    <w:pPr>
      <w:snapToGrid w:val="0"/>
      <w:ind w:right="210" w:rightChars="100"/>
      <w:jc w:val="right"/>
    </w:pPr>
    <w:rPr>
      <w:sz w:val="18"/>
      <w:szCs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296"/>
      </w:tabs>
    </w:pPr>
  </w:style>
  <w:style w:type="paragraph" w:styleId="14">
    <w:name w:val="Subtitle"/>
    <w:basedOn w:val="1"/>
    <w:next w:val="1"/>
    <w:link w:val="30"/>
    <w:autoRedefine/>
    <w:qFormat/>
    <w:uiPriority w:val="11"/>
    <w:pPr>
      <w:spacing w:before="240" w:after="60" w:line="312" w:lineRule="auto"/>
      <w:jc w:val="center"/>
      <w:outlineLvl w:val="1"/>
    </w:pPr>
    <w:rPr>
      <w:rFonts w:ascii="Cambria" w:hAnsi="Cambria"/>
      <w:b/>
      <w:bCs/>
      <w:kern w:val="28"/>
      <w:sz w:val="32"/>
      <w:szCs w:val="32"/>
    </w:rPr>
  </w:style>
  <w:style w:type="paragraph" w:styleId="15">
    <w:name w:val="toc 2"/>
    <w:basedOn w:val="1"/>
    <w:next w:val="1"/>
    <w:autoRedefine/>
    <w:unhideWhenUsed/>
    <w:qFormat/>
    <w:uiPriority w:val="39"/>
    <w:pPr>
      <w:tabs>
        <w:tab w:val="right" w:leader="dot" w:pos="8296"/>
      </w:tabs>
      <w:spacing w:line="300" w:lineRule="exact"/>
      <w:ind w:left="420" w:leftChars="200"/>
    </w:pPr>
  </w:style>
  <w:style w:type="paragraph" w:styleId="16">
    <w:name w:val="Title"/>
    <w:basedOn w:val="1"/>
    <w:next w:val="1"/>
    <w:autoRedefine/>
    <w:qFormat/>
    <w:uiPriority w:val="10"/>
    <w:pPr>
      <w:jc w:val="center"/>
    </w:pPr>
    <w:rPr>
      <w:rFonts w:ascii="方正小标宋_GBK" w:hAnsi="Arial Unicode MS" w:eastAsia="方正小标宋_GBK" w:cs="Arial Unicode MS"/>
      <w:sz w:val="40"/>
      <w:szCs w:val="40"/>
    </w:rPr>
  </w:style>
  <w:style w:type="paragraph" w:styleId="17">
    <w:name w:val="Body Text First Indent"/>
    <w:basedOn w:val="7"/>
    <w:autoRedefine/>
    <w:qFormat/>
    <w:uiPriority w:val="0"/>
    <w:pPr>
      <w:ind w:firstLine="420" w:firstLineChars="100"/>
    </w:pPr>
  </w:style>
  <w:style w:type="table" w:styleId="19">
    <w:name w:val="Table Grid"/>
    <w:basedOn w:val="1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rPr>
  </w:style>
  <w:style w:type="character" w:styleId="22">
    <w:name w:val="page number"/>
    <w:autoRedefine/>
    <w:unhideWhenUsed/>
    <w:qFormat/>
    <w:uiPriority w:val="99"/>
    <w:rPr>
      <w:rFonts w:ascii="Times New Roman" w:hAnsi="Times New Roman" w:eastAsia="宋体"/>
      <w:sz w:val="18"/>
    </w:rPr>
  </w:style>
  <w:style w:type="character" w:styleId="23">
    <w:name w:val="Hyperlink"/>
    <w:autoRedefine/>
    <w:unhideWhenUsed/>
    <w:qFormat/>
    <w:uiPriority w:val="99"/>
    <w:rPr>
      <w:color w:val="0000FF"/>
      <w:u w:val="single"/>
    </w:rPr>
  </w:style>
  <w:style w:type="paragraph" w:customStyle="1" w:styleId="24">
    <w:name w:val="正文 A"/>
    <w:autoRedefine/>
    <w:qFormat/>
    <w:uiPriority w:val="2"/>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5">
    <w:name w:val="正文首行缩进 2 Char"/>
    <w:link w:val="2"/>
    <w:autoRedefine/>
    <w:qFormat/>
    <w:uiPriority w:val="99"/>
    <w:rPr>
      <w:kern w:val="2"/>
      <w:sz w:val="21"/>
      <w:szCs w:val="24"/>
    </w:rPr>
  </w:style>
  <w:style w:type="character" w:customStyle="1" w:styleId="26">
    <w:name w:val="标题 1 Char"/>
    <w:link w:val="4"/>
    <w:autoRedefine/>
    <w:qFormat/>
    <w:uiPriority w:val="9"/>
    <w:rPr>
      <w:rFonts w:ascii="黑体" w:hAnsi="黑体" w:eastAsia="黑体"/>
      <w:kern w:val="2"/>
      <w:sz w:val="32"/>
      <w:szCs w:val="32"/>
      <w:u w:val="none" w:color="000000"/>
      <w:lang w:val="zh-TW"/>
    </w:rPr>
  </w:style>
  <w:style w:type="character" w:customStyle="1" w:styleId="27">
    <w:name w:val="标题 2 Char"/>
    <w:link w:val="5"/>
    <w:autoRedefine/>
    <w:semiHidden/>
    <w:qFormat/>
    <w:uiPriority w:val="9"/>
    <w:rPr>
      <w:rFonts w:ascii="Cambria" w:hAnsi="Cambria" w:eastAsia="宋体" w:cs="Times New Roman"/>
      <w:b/>
      <w:bCs/>
      <w:kern w:val="2"/>
      <w:sz w:val="32"/>
      <w:szCs w:val="32"/>
    </w:rPr>
  </w:style>
  <w:style w:type="character" w:customStyle="1" w:styleId="28">
    <w:name w:val="批注框文本 Char"/>
    <w:link w:val="10"/>
    <w:autoRedefine/>
    <w:semiHidden/>
    <w:qFormat/>
    <w:uiPriority w:val="99"/>
    <w:rPr>
      <w:kern w:val="2"/>
      <w:sz w:val="18"/>
      <w:szCs w:val="18"/>
    </w:rPr>
  </w:style>
  <w:style w:type="character" w:customStyle="1" w:styleId="29">
    <w:name w:val="页脚 Char"/>
    <w:link w:val="11"/>
    <w:autoRedefine/>
    <w:qFormat/>
    <w:uiPriority w:val="99"/>
    <w:rPr>
      <w:kern w:val="2"/>
      <w:sz w:val="18"/>
      <w:szCs w:val="18"/>
    </w:rPr>
  </w:style>
  <w:style w:type="character" w:customStyle="1" w:styleId="30">
    <w:name w:val="副标题 Char"/>
    <w:link w:val="14"/>
    <w:autoRedefine/>
    <w:qFormat/>
    <w:uiPriority w:val="11"/>
    <w:rPr>
      <w:rFonts w:ascii="Cambria" w:hAnsi="Cambria" w:cs="Times New Roman"/>
      <w:b/>
      <w:bCs/>
      <w:kern w:val="28"/>
      <w:sz w:val="32"/>
      <w:szCs w:val="32"/>
    </w:rPr>
  </w:style>
  <w:style w:type="paragraph" w:customStyle="1" w:styleId="31">
    <w:name w:val="章标题"/>
    <w:next w:val="32"/>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2">
    <w:name w:val="段"/>
    <w:link w:val="3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段 Char"/>
    <w:link w:val="32"/>
    <w:autoRedefine/>
    <w:qFormat/>
    <w:locked/>
    <w:uiPriority w:val="0"/>
    <w:rPr>
      <w:rFonts w:ascii="宋体"/>
      <w:sz w:val="21"/>
    </w:rPr>
  </w:style>
  <w:style w:type="paragraph" w:customStyle="1" w:styleId="34">
    <w:name w:val="二级无"/>
    <w:basedOn w:val="1"/>
    <w:autoRedefine/>
    <w:qFormat/>
    <w:uiPriority w:val="0"/>
    <w:pPr>
      <w:widowControl/>
      <w:ind w:left="709"/>
      <w:jc w:val="left"/>
      <w:outlineLvl w:val="3"/>
    </w:pPr>
    <w:rPr>
      <w:rFonts w:ascii="宋体"/>
      <w:kern w:val="0"/>
      <w:szCs w:val="21"/>
    </w:rPr>
  </w:style>
  <w:style w:type="paragraph" w:customStyle="1" w:styleId="35">
    <w:name w:val="一级条标题"/>
    <w:next w:val="32"/>
    <w:autoRedefine/>
    <w:qFormat/>
    <w:uiPriority w:val="0"/>
    <w:pPr>
      <w:spacing w:before="156" w:beforeLines="50" w:after="156" w:afterLines="50"/>
      <w:ind w:left="2340"/>
      <w:outlineLvl w:val="2"/>
    </w:pPr>
    <w:rPr>
      <w:rFonts w:ascii="黑体" w:hAnsi="Times New Roman" w:eastAsia="黑体" w:cs="Times New Roman"/>
      <w:sz w:val="21"/>
      <w:szCs w:val="21"/>
      <w:lang w:val="en-US" w:eastAsia="zh-CN" w:bidi="ar-SA"/>
    </w:rPr>
  </w:style>
  <w:style w:type="character" w:customStyle="1" w:styleId="36">
    <w:name w:val="标题2 Char"/>
    <w:link w:val="37"/>
    <w:autoRedefine/>
    <w:qFormat/>
    <w:uiPriority w:val="0"/>
    <w:rPr>
      <w:rFonts w:ascii="楷体_GB2312" w:hAnsi="Cambria" w:eastAsia="楷体_GB2312"/>
      <w:b/>
      <w:kern w:val="28"/>
      <w:sz w:val="32"/>
      <w:szCs w:val="32"/>
      <w:u w:val="none" w:color="000000"/>
      <w:lang w:val="zh-TW" w:eastAsia="zh-TW"/>
    </w:rPr>
  </w:style>
  <w:style w:type="paragraph" w:customStyle="1" w:styleId="37">
    <w:name w:val="标题2"/>
    <w:basedOn w:val="14"/>
    <w:link w:val="36"/>
    <w:autoRedefine/>
    <w:qFormat/>
    <w:uiPriority w:val="0"/>
    <w:pPr>
      <w:tabs>
        <w:tab w:val="left" w:pos="949"/>
      </w:tabs>
      <w:spacing w:before="0" w:after="0" w:line="560" w:lineRule="exact"/>
      <w:ind w:firstLine="200" w:firstLineChars="200"/>
      <w:jc w:val="both"/>
    </w:pPr>
    <w:rPr>
      <w:rFonts w:ascii="楷体_GB2312" w:eastAsia="楷体_GB2312"/>
      <w:bCs w:val="0"/>
      <w:u w:color="000000"/>
      <w:lang w:val="zh-TW" w:eastAsia="zh-TW"/>
    </w:rPr>
  </w:style>
  <w:style w:type="paragraph" w:customStyle="1" w:styleId="38">
    <w:name w:val="列出段落1"/>
    <w:basedOn w:val="1"/>
    <w:autoRedefine/>
    <w:qFormat/>
    <w:uiPriority w:val="34"/>
    <w:pPr>
      <w:ind w:firstLine="420" w:firstLineChars="200"/>
    </w:pPr>
    <w:rPr>
      <w:rFonts w:ascii="等线" w:hAnsi="等线" w:eastAsia="等线"/>
      <w:szCs w:val="22"/>
    </w:rPr>
  </w:style>
  <w:style w:type="paragraph" w:customStyle="1" w:styleId="39">
    <w:name w:val="列出段落11"/>
    <w:basedOn w:val="1"/>
    <w:autoRedefine/>
    <w:qFormat/>
    <w:uiPriority w:val="34"/>
    <w:pPr>
      <w:ind w:firstLine="420" w:firstLineChars="200"/>
    </w:pPr>
    <w:rPr>
      <w:rFonts w:ascii="等线" w:hAnsi="等线" w:eastAsia="等线"/>
      <w:szCs w:val="22"/>
    </w:rPr>
  </w:style>
  <w:style w:type="character" w:customStyle="1" w:styleId="40">
    <w:name w:val="表格 Char"/>
    <w:link w:val="41"/>
    <w:autoRedefine/>
    <w:qFormat/>
    <w:uiPriority w:val="0"/>
    <w:rPr>
      <w:rFonts w:ascii="仿宋_GB2312" w:hAnsi="仿宋_GB2312" w:eastAsia="仿宋_GB2312"/>
      <w:kern w:val="2"/>
      <w:sz w:val="28"/>
      <w:szCs w:val="24"/>
      <w:u w:val="none" w:color="000000"/>
      <w:lang w:val="zh-TW"/>
    </w:rPr>
  </w:style>
  <w:style w:type="paragraph" w:customStyle="1" w:styleId="41">
    <w:name w:val="表格"/>
    <w:basedOn w:val="1"/>
    <w:link w:val="40"/>
    <w:autoRedefine/>
    <w:qFormat/>
    <w:uiPriority w:val="0"/>
    <w:pPr>
      <w:tabs>
        <w:tab w:val="left" w:pos="949"/>
      </w:tabs>
      <w:spacing w:line="320" w:lineRule="exact"/>
      <w:jc w:val="center"/>
    </w:pPr>
    <w:rPr>
      <w:rFonts w:ascii="仿宋_GB2312" w:hAnsi="仿宋_GB2312" w:eastAsia="仿宋_GB2312"/>
      <w:sz w:val="28"/>
      <w:u w:color="000000"/>
      <w:lang w:val="zh-TW"/>
    </w:rPr>
  </w:style>
  <w:style w:type="paragraph" w:styleId="42">
    <w:name w:val="No Spacing"/>
    <w:basedOn w:val="2"/>
    <w:autoRedefine/>
    <w:qFormat/>
    <w:uiPriority w:val="1"/>
    <w:pPr>
      <w:tabs>
        <w:tab w:val="left" w:pos="949"/>
      </w:tabs>
      <w:spacing w:beforeLines="50" w:after="0" w:line="560" w:lineRule="exact"/>
      <w:ind w:left="0" w:leftChars="0" w:firstLine="200"/>
      <w:outlineLvl w:val="2"/>
    </w:pPr>
    <w:rPr>
      <w:rFonts w:ascii="楷体_GB2312" w:eastAsia="楷体_GB2312"/>
      <w:kern w:val="0"/>
      <w:sz w:val="32"/>
      <w:u w:val="single"/>
    </w:rPr>
  </w:style>
  <w:style w:type="paragraph" w:customStyle="1" w:styleId="43">
    <w:name w:val="_Style 39"/>
    <w:basedOn w:val="4"/>
    <w:next w:val="1"/>
    <w:autoRedefine/>
    <w:qFormat/>
    <w:uiPriority w:val="39"/>
    <w:pPr>
      <w:keepNext/>
      <w:keepLines/>
      <w:widowControl/>
      <w:tabs>
        <w:tab w:val="clear" w:pos="949"/>
      </w:tabs>
      <w:spacing w:before="480" w:line="276" w:lineRule="auto"/>
      <w:ind w:firstLine="0" w:firstLineChars="0"/>
      <w:jc w:val="left"/>
      <w:outlineLvl w:val="9"/>
    </w:pPr>
    <w:rPr>
      <w:rFonts w:ascii="Cambria" w:hAnsi="Cambria" w:eastAsia="宋体"/>
      <w:b/>
      <w:bCs/>
      <w:color w:val="365F91"/>
      <w:kern w:val="0"/>
      <w:sz w:val="28"/>
      <w:szCs w:val="28"/>
      <w:lang w:val="en-US"/>
    </w:rPr>
  </w:style>
  <w:style w:type="paragraph" w:customStyle="1" w:styleId="44">
    <w:name w:val="_Style 40"/>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300" b="1" i="0" u="none" strike="noStrike" baseline="0">
                <a:effectLst/>
              </a:rPr>
              <a:t>安吉农商银行</a:t>
            </a:r>
            <a:r>
              <a:rPr lang="en-US" altLang="zh-CN" sz="1300" b="1" i="0" u="none" strike="noStrike" baseline="0">
                <a:effectLst/>
              </a:rPr>
              <a:t>2022</a:t>
            </a:r>
            <a:r>
              <a:rPr lang="zh-CN" altLang="zh-CN" sz="1300" b="1" i="0" u="none" strike="noStrike" baseline="0">
                <a:effectLst/>
              </a:rPr>
              <a:t>年度温室气体排放总量构成</a:t>
            </a:r>
            <a:endParaRPr lang="zh-CN" altLang="en-US" sz="1300"/>
          </a:p>
        </c:rich>
      </c:tx>
      <c:layout/>
      <c:overlay val="0"/>
    </c:title>
    <c:autoTitleDeleted val="0"/>
    <c:plotArea>
      <c:layout/>
      <c:pieChart>
        <c:varyColors val="1"/>
        <c:ser>
          <c:idx val="0"/>
          <c:order val="0"/>
          <c:tx>
            <c:strRef>
              <c:f>总行!$B$11</c:f>
              <c:strCache>
                <c:ptCount val="1"/>
                <c:pt idx="0">
                  <c:v>占比</c:v>
                </c:pt>
              </c:strCache>
            </c:strRef>
          </c:tx>
          <c:explosion val="0"/>
          <c:dPt>
            <c:idx val="0"/>
            <c:bubble3D val="0"/>
          </c:dPt>
          <c:dPt>
            <c:idx val="1"/>
            <c:bubble3D val="0"/>
          </c:dPt>
          <c:dPt>
            <c:idx val="2"/>
            <c:bubble3D val="0"/>
          </c:dPt>
          <c:dLbls>
            <c:dLbl>
              <c:idx val="0"/>
              <c:layout>
                <c:manualLayout>
                  <c:x val="0.0872126834066002"/>
                  <c:y val="0.010241039135718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dLblPos val="bestFit"/>
              <c:showLegendKey val="1"/>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总行!$A$12:$A$14</c:f>
              <c:strCache>
                <c:ptCount val="3"/>
                <c:pt idx="0">
                  <c:v>范围1</c:v>
                </c:pt>
                <c:pt idx="1">
                  <c:v>范围2</c:v>
                </c:pt>
                <c:pt idx="2">
                  <c:v>范围3</c:v>
                </c:pt>
              </c:strCache>
            </c:strRef>
          </c:cat>
          <c:val>
            <c:numRef>
              <c:f>总行!$B$12:$B$14</c:f>
              <c:numCache>
                <c:formatCode>0.00%</c:formatCode>
                <c:ptCount val="3"/>
                <c:pt idx="0">
                  <c:v>0.0139633362829758</c:v>
                </c:pt>
                <c:pt idx="1">
                  <c:v>0.523244538923414</c:v>
                </c:pt>
                <c:pt idx="2">
                  <c:v>0.46279042959678</c:v>
                </c:pt>
              </c:numCache>
            </c:numRef>
          </c:val>
        </c:ser>
        <c:dLbls>
          <c:showLegendKey val="0"/>
          <c:showVal val="0"/>
          <c:showCatName val="0"/>
          <c:showSerName val="0"/>
          <c:showPercent val="1"/>
          <c:showBubbleSize val="0"/>
          <c:showLeaderLines val="1"/>
        </c:dLbls>
        <c:firstSliceAng val="0"/>
      </c:pieChart>
    </c:plotArea>
    <c:legend>
      <c:legendPos val="b"/>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1" i="0" baseline="0">
                <a:effectLst/>
              </a:rPr>
              <a:t>安吉农商银行</a:t>
            </a:r>
            <a:r>
              <a:rPr lang="en-US" altLang="zh-CN" sz="1400" b="1" i="0" baseline="0">
                <a:effectLst/>
              </a:rPr>
              <a:t>2022</a:t>
            </a:r>
            <a:r>
              <a:rPr lang="zh-CN" altLang="zh-CN" sz="1400" b="1" i="0" baseline="0">
                <a:effectLst/>
              </a:rPr>
              <a:t>年主要排放源分析</a:t>
            </a:r>
            <a:endParaRPr lang="zh-CN" altLang="zh-CN" sz="1400">
              <a:effectLst/>
            </a:endParaRPr>
          </a:p>
        </c:rich>
      </c:tx>
      <c:layout/>
      <c:overlay val="0"/>
    </c:title>
    <c:autoTitleDeleted val="0"/>
    <c:plotArea>
      <c:layout/>
      <c:barChart>
        <c:barDir val="col"/>
        <c:grouping val="clustered"/>
        <c:varyColors val="0"/>
        <c:ser>
          <c:idx val="0"/>
          <c:order val="0"/>
          <c:tx>
            <c:strRef>
              <c:f>总行!$C$4</c:f>
              <c:strCache>
                <c:ptCount val="1"/>
                <c:pt idx="0">
                  <c:v>碳排放量</c:v>
                </c:pt>
              </c:strCache>
            </c:strRef>
          </c:tx>
          <c:invertIfNegative val="0"/>
          <c:dLbls>
            <c:delete val="1"/>
          </c:dLbls>
          <c:cat>
            <c:strRef>
              <c:f>总行!$B$5:$B$7</c:f>
              <c:strCache>
                <c:ptCount val="3"/>
                <c:pt idx="0">
                  <c:v>总行自身运营电力消耗</c:v>
                </c:pt>
                <c:pt idx="1">
                  <c:v>员工通勤汽油消耗</c:v>
                </c:pt>
                <c:pt idx="2">
                  <c:v>外包运输柴油消耗</c:v>
                </c:pt>
              </c:strCache>
            </c:strRef>
          </c:cat>
          <c:val>
            <c:numRef>
              <c:f>总行!$C$5:$C$7</c:f>
              <c:numCache>
                <c:formatCode>0.00_ </c:formatCode>
                <c:ptCount val="3"/>
                <c:pt idx="0">
                  <c:v>3086.632488356</c:v>
                </c:pt>
                <c:pt idx="1">
                  <c:v>1454.88</c:v>
                </c:pt>
                <c:pt idx="2">
                  <c:v>1202.42686685229</c:v>
                </c:pt>
              </c:numCache>
            </c:numRef>
          </c:val>
        </c:ser>
        <c:dLbls>
          <c:showLegendKey val="0"/>
          <c:showVal val="0"/>
          <c:showCatName val="0"/>
          <c:showSerName val="0"/>
          <c:showPercent val="0"/>
          <c:showBubbleSize val="0"/>
        </c:dLbls>
        <c:gapWidth val="150"/>
        <c:axId val="52766976"/>
        <c:axId val="125022208"/>
      </c:barChart>
      <c:catAx>
        <c:axId val="5276697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022208"/>
        <c:crosses val="autoZero"/>
        <c:auto val="1"/>
        <c:lblAlgn val="ctr"/>
        <c:lblOffset val="100"/>
        <c:noMultiLvlLbl val="0"/>
      </c:catAx>
      <c:valAx>
        <c:axId val="12502220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zh-CN" sz="1000" b="1" i="0" baseline="0">
                    <a:effectLst/>
                  </a:rPr>
                  <a:t>碳排放量  吨二氧化碳当量</a:t>
                </a:r>
                <a:endParaRPr lang="zh-CN" altLang="zh-CN" sz="1000">
                  <a:effectLst/>
                </a:endParaRPr>
              </a:p>
            </c:rich>
          </c:tx>
          <c:layout>
            <c:manualLayout>
              <c:xMode val="edge"/>
              <c:yMode val="edge"/>
              <c:x val="0.0354270963087381"/>
              <c:y val="0.20035724701079"/>
            </c:manualLayout>
          </c:layout>
          <c:overlay val="0"/>
        </c:title>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276697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15318</Words>
  <Characters>16291</Characters>
  <Lines>138</Lines>
  <Paragraphs>39</Paragraphs>
  <TotalTime>32</TotalTime>
  <ScaleCrop>false</ScaleCrop>
  <LinksUpToDate>false</LinksUpToDate>
  <CharactersWithSpaces>16385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2024-04-26T01:16:00Z</dcterms:created>
  <dc:creator>unknown</dc:creator>
  <cp:lastModifiedBy>MIss Lee</cp:lastModifiedBy>
  <dcterms:modified xsi:type="dcterms:W3CDTF">2024-07-26T01:36:38Z</dcterms:modified>
  <dc:title>绿色金融改革创新试验区</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6DC821304EF74F9FBA61E6D26D81F3E0_13</vt:lpwstr>
  </property>
</Properties>
</file>