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5E8797">
      <w:pPr>
        <w:pStyle w:val="27"/>
        <w:tabs>
          <w:tab w:val="left" w:pos="949"/>
        </w:tabs>
        <w:spacing w:line="560" w:lineRule="exact"/>
        <w:rPr>
          <w:rFonts w:eastAsia="黑体" w:cs="Times New Roman"/>
          <w:bCs/>
          <w:color w:val="auto"/>
          <w:sz w:val="44"/>
          <w:szCs w:val="44"/>
          <w:lang w:val="zh-CN"/>
        </w:rPr>
      </w:pPr>
    </w:p>
    <w:p w14:paraId="5C844E19">
      <w:pPr>
        <w:pStyle w:val="27"/>
        <w:tabs>
          <w:tab w:val="left" w:pos="949"/>
        </w:tabs>
        <w:spacing w:line="560" w:lineRule="exact"/>
        <w:rPr>
          <w:rFonts w:eastAsia="黑体" w:cs="Times New Roman"/>
          <w:bCs/>
          <w:color w:val="auto"/>
          <w:sz w:val="44"/>
          <w:szCs w:val="44"/>
          <w:lang w:val="zh-CN"/>
        </w:rPr>
      </w:pPr>
    </w:p>
    <w:p w14:paraId="5AB4EF4B">
      <w:pPr>
        <w:pStyle w:val="27"/>
        <w:tabs>
          <w:tab w:val="left" w:pos="949"/>
        </w:tabs>
        <w:spacing w:line="560" w:lineRule="exact"/>
        <w:ind w:left="210" w:leftChars="100"/>
        <w:jc w:val="center"/>
        <w:rPr>
          <w:rFonts w:eastAsia="黑体" w:cs="Times New Roman"/>
          <w:bCs/>
          <w:color w:val="auto"/>
          <w:sz w:val="44"/>
          <w:szCs w:val="44"/>
          <w:lang w:val="zh-CN"/>
        </w:rPr>
      </w:pPr>
    </w:p>
    <w:p w14:paraId="6A4D04C2">
      <w:pPr>
        <w:pStyle w:val="27"/>
        <w:tabs>
          <w:tab w:val="left" w:pos="949"/>
        </w:tabs>
        <w:spacing w:line="560" w:lineRule="exact"/>
        <w:ind w:left="210" w:leftChars="100"/>
        <w:jc w:val="center"/>
        <w:rPr>
          <w:rFonts w:eastAsia="微软雅黑" w:cs="Times New Roman"/>
          <w:sz w:val="44"/>
          <w:szCs w:val="44"/>
        </w:rPr>
      </w:pPr>
      <w:r>
        <w:rPr>
          <w:rFonts w:eastAsia="微软雅黑" w:cs="Times New Roman"/>
          <w:sz w:val="44"/>
          <w:szCs w:val="44"/>
        </w:rPr>
        <w:t>浙江安吉农村商业银行股份有限公司</w:t>
      </w:r>
    </w:p>
    <w:p w14:paraId="27BC71A0">
      <w:pPr>
        <w:pStyle w:val="27"/>
        <w:tabs>
          <w:tab w:val="left" w:pos="949"/>
        </w:tabs>
        <w:spacing w:line="560" w:lineRule="exact"/>
        <w:ind w:left="210" w:leftChars="100"/>
        <w:jc w:val="center"/>
        <w:rPr>
          <w:rFonts w:eastAsia="微软雅黑" w:cs="Times New Roman"/>
          <w:sz w:val="44"/>
          <w:szCs w:val="44"/>
        </w:rPr>
      </w:pPr>
      <w:r>
        <w:rPr>
          <w:rFonts w:eastAsia="微软雅黑" w:cs="Times New Roman"/>
          <w:sz w:val="44"/>
          <w:szCs w:val="44"/>
        </w:rPr>
        <w:t>202</w:t>
      </w:r>
      <w:r>
        <w:rPr>
          <w:rFonts w:hint="eastAsia" w:eastAsia="微软雅黑" w:cs="Times New Roman"/>
          <w:sz w:val="44"/>
          <w:szCs w:val="44"/>
        </w:rPr>
        <w:t>4</w:t>
      </w:r>
      <w:r>
        <w:rPr>
          <w:rFonts w:eastAsia="微软雅黑" w:cs="Times New Roman"/>
          <w:sz w:val="44"/>
          <w:szCs w:val="44"/>
        </w:rPr>
        <w:t>年度环境信息披露报告</w:t>
      </w:r>
    </w:p>
    <w:p w14:paraId="035FD73A">
      <w:pPr>
        <w:pStyle w:val="27"/>
        <w:tabs>
          <w:tab w:val="left" w:pos="949"/>
        </w:tabs>
        <w:spacing w:line="560" w:lineRule="exact"/>
        <w:jc w:val="center"/>
        <w:rPr>
          <w:rFonts w:eastAsia="黑体" w:cs="Times New Roman"/>
          <w:color w:val="auto"/>
          <w:sz w:val="44"/>
          <w:szCs w:val="44"/>
          <w:lang w:val="zh-TW"/>
        </w:rPr>
      </w:pPr>
    </w:p>
    <w:p w14:paraId="0ED08638">
      <w:pPr>
        <w:pStyle w:val="27"/>
        <w:tabs>
          <w:tab w:val="left" w:pos="949"/>
        </w:tabs>
        <w:spacing w:line="560" w:lineRule="exact"/>
        <w:jc w:val="center"/>
        <w:rPr>
          <w:rFonts w:eastAsia="黑体" w:cs="Times New Roman"/>
          <w:color w:val="auto"/>
          <w:sz w:val="44"/>
          <w:szCs w:val="44"/>
          <w:lang w:val="zh-TW"/>
        </w:rPr>
      </w:pPr>
    </w:p>
    <w:p w14:paraId="70B9C405">
      <w:pPr>
        <w:pStyle w:val="27"/>
        <w:tabs>
          <w:tab w:val="left" w:pos="949"/>
        </w:tabs>
        <w:spacing w:line="560" w:lineRule="exact"/>
        <w:jc w:val="center"/>
        <w:rPr>
          <w:rFonts w:eastAsia="黑体" w:cs="Times New Roman"/>
          <w:color w:val="auto"/>
          <w:sz w:val="44"/>
          <w:szCs w:val="44"/>
          <w:lang w:val="zh-TW"/>
        </w:rPr>
      </w:pPr>
    </w:p>
    <w:p w14:paraId="21A1DE11">
      <w:pPr>
        <w:pStyle w:val="27"/>
        <w:tabs>
          <w:tab w:val="left" w:pos="949"/>
        </w:tabs>
        <w:spacing w:line="560" w:lineRule="exact"/>
        <w:jc w:val="center"/>
        <w:rPr>
          <w:rFonts w:eastAsia="黑体" w:cs="Times New Roman"/>
          <w:color w:val="auto"/>
          <w:sz w:val="44"/>
          <w:szCs w:val="44"/>
          <w:lang w:val="zh-TW"/>
        </w:rPr>
      </w:pPr>
    </w:p>
    <w:p w14:paraId="59D0FB88">
      <w:pPr>
        <w:pStyle w:val="27"/>
        <w:tabs>
          <w:tab w:val="left" w:pos="949"/>
        </w:tabs>
        <w:spacing w:line="560" w:lineRule="exact"/>
        <w:jc w:val="center"/>
        <w:rPr>
          <w:rFonts w:eastAsia="黑体" w:cs="Times New Roman"/>
          <w:color w:val="auto"/>
          <w:sz w:val="44"/>
          <w:szCs w:val="44"/>
          <w:lang w:val="zh-TW"/>
        </w:rPr>
      </w:pPr>
    </w:p>
    <w:p w14:paraId="414E6394">
      <w:pPr>
        <w:pStyle w:val="27"/>
        <w:tabs>
          <w:tab w:val="left" w:pos="949"/>
        </w:tabs>
        <w:spacing w:line="560" w:lineRule="exact"/>
        <w:jc w:val="center"/>
        <w:rPr>
          <w:rFonts w:eastAsia="黑体" w:cs="Times New Roman"/>
          <w:color w:val="auto"/>
          <w:sz w:val="44"/>
          <w:szCs w:val="44"/>
          <w:lang w:val="zh-TW" w:eastAsia="zh-TW"/>
        </w:rPr>
      </w:pPr>
    </w:p>
    <w:p w14:paraId="774EF011">
      <w:pPr>
        <w:pStyle w:val="27"/>
        <w:tabs>
          <w:tab w:val="left" w:pos="949"/>
        </w:tabs>
        <w:spacing w:line="560" w:lineRule="exact"/>
        <w:jc w:val="center"/>
        <w:rPr>
          <w:rFonts w:eastAsia="黑体" w:cs="Times New Roman"/>
          <w:color w:val="auto"/>
          <w:sz w:val="44"/>
          <w:szCs w:val="44"/>
          <w:lang w:val="zh-TW"/>
        </w:rPr>
      </w:pPr>
    </w:p>
    <w:p w14:paraId="2A5CAB12">
      <w:pPr>
        <w:pStyle w:val="27"/>
        <w:tabs>
          <w:tab w:val="left" w:pos="949"/>
        </w:tabs>
        <w:spacing w:line="560" w:lineRule="exact"/>
        <w:jc w:val="center"/>
        <w:rPr>
          <w:rFonts w:eastAsia="黑体" w:cs="Times New Roman"/>
          <w:color w:val="auto"/>
          <w:sz w:val="44"/>
          <w:szCs w:val="44"/>
          <w:lang w:val="zh-TW"/>
        </w:rPr>
      </w:pPr>
    </w:p>
    <w:p w14:paraId="401BA4C9">
      <w:pPr>
        <w:pStyle w:val="27"/>
        <w:tabs>
          <w:tab w:val="left" w:pos="949"/>
        </w:tabs>
        <w:spacing w:line="560" w:lineRule="exact"/>
        <w:jc w:val="center"/>
        <w:rPr>
          <w:rFonts w:eastAsia="黑体" w:cs="Times New Roman"/>
          <w:color w:val="auto"/>
          <w:sz w:val="44"/>
          <w:szCs w:val="44"/>
          <w:lang w:val="zh-TW"/>
        </w:rPr>
      </w:pPr>
    </w:p>
    <w:p w14:paraId="7F8D854A">
      <w:pPr>
        <w:pStyle w:val="27"/>
        <w:tabs>
          <w:tab w:val="left" w:pos="949"/>
        </w:tabs>
        <w:spacing w:line="560" w:lineRule="exact"/>
        <w:jc w:val="center"/>
        <w:rPr>
          <w:rFonts w:eastAsia="黑体" w:cs="Times New Roman"/>
          <w:color w:val="auto"/>
          <w:sz w:val="44"/>
          <w:szCs w:val="44"/>
          <w:lang w:val="zh-TW"/>
        </w:rPr>
      </w:pPr>
    </w:p>
    <w:p w14:paraId="733F52A7">
      <w:pPr>
        <w:pStyle w:val="27"/>
        <w:tabs>
          <w:tab w:val="left" w:pos="949"/>
        </w:tabs>
        <w:spacing w:line="560" w:lineRule="exact"/>
        <w:jc w:val="center"/>
        <w:rPr>
          <w:rFonts w:eastAsia="黑体" w:cs="Times New Roman"/>
          <w:color w:val="auto"/>
          <w:sz w:val="44"/>
          <w:szCs w:val="44"/>
          <w:lang w:val="zh-TW"/>
        </w:rPr>
      </w:pPr>
    </w:p>
    <w:p w14:paraId="5F52CAB9">
      <w:pPr>
        <w:pStyle w:val="27"/>
        <w:tabs>
          <w:tab w:val="left" w:pos="949"/>
        </w:tabs>
        <w:spacing w:line="560" w:lineRule="exact"/>
        <w:jc w:val="center"/>
        <w:rPr>
          <w:rFonts w:eastAsia="黑体" w:cs="Times New Roman"/>
          <w:color w:val="auto"/>
          <w:sz w:val="44"/>
          <w:szCs w:val="44"/>
          <w:lang w:val="zh-TW"/>
        </w:rPr>
      </w:pPr>
    </w:p>
    <w:p w14:paraId="0638175E">
      <w:pPr>
        <w:pStyle w:val="27"/>
        <w:tabs>
          <w:tab w:val="left" w:pos="949"/>
        </w:tabs>
        <w:spacing w:line="560" w:lineRule="exact"/>
        <w:ind w:left="210" w:leftChars="100"/>
        <w:jc w:val="center"/>
        <w:rPr>
          <w:rFonts w:eastAsia="微软雅黑" w:cs="Times New Roman"/>
          <w:sz w:val="44"/>
          <w:szCs w:val="44"/>
          <w:lang w:val="zh-TW"/>
        </w:rPr>
      </w:pPr>
      <w:r>
        <w:rPr>
          <w:rFonts w:eastAsia="微软雅黑" w:cs="Times New Roman"/>
          <w:sz w:val="44"/>
          <w:szCs w:val="44"/>
          <w:lang w:val="zh-TW"/>
        </w:rPr>
        <w:t>202</w:t>
      </w:r>
      <w:r>
        <w:rPr>
          <w:rFonts w:hint="eastAsia" w:eastAsia="微软雅黑" w:cs="Times New Roman"/>
          <w:sz w:val="44"/>
          <w:szCs w:val="44"/>
        </w:rPr>
        <w:t>5</w:t>
      </w:r>
      <w:r>
        <w:rPr>
          <w:rFonts w:eastAsia="微软雅黑" w:cs="Times New Roman"/>
          <w:sz w:val="44"/>
          <w:szCs w:val="44"/>
          <w:lang w:val="zh-TW"/>
        </w:rPr>
        <w:t>年</w:t>
      </w:r>
      <w:r>
        <w:rPr>
          <w:rFonts w:hint="eastAsia" w:eastAsia="微软雅黑" w:cs="Times New Roman"/>
          <w:sz w:val="44"/>
          <w:szCs w:val="44"/>
          <w:lang w:val="en-US" w:eastAsia="zh-CN"/>
        </w:rPr>
        <w:t>6</w:t>
      </w:r>
      <w:r>
        <w:rPr>
          <w:rFonts w:eastAsia="微软雅黑" w:cs="Times New Roman"/>
          <w:sz w:val="44"/>
          <w:szCs w:val="44"/>
          <w:lang w:val="zh-TW"/>
        </w:rPr>
        <w:t>月</w:t>
      </w:r>
    </w:p>
    <w:p w14:paraId="30E523CD">
      <w:pPr>
        <w:spacing w:line="560" w:lineRule="exact"/>
        <w:ind w:firstLine="880"/>
        <w:jc w:val="center"/>
        <w:rPr>
          <w:b/>
          <w:bCs/>
          <w:sz w:val="44"/>
          <w:szCs w:val="44"/>
          <w:lang w:val="zh-CN"/>
        </w:rPr>
      </w:pPr>
    </w:p>
    <w:p w14:paraId="619B4138">
      <w:pPr>
        <w:spacing w:line="560" w:lineRule="exact"/>
        <w:ind w:firstLine="880"/>
        <w:jc w:val="center"/>
        <w:rPr>
          <w:b/>
          <w:bCs/>
          <w:sz w:val="44"/>
          <w:szCs w:val="44"/>
          <w:lang w:val="zh-CN"/>
        </w:rPr>
      </w:pPr>
    </w:p>
    <w:p w14:paraId="1C21E1B4">
      <w:pPr>
        <w:spacing w:line="560" w:lineRule="exact"/>
        <w:ind w:firstLine="880"/>
        <w:jc w:val="center"/>
        <w:rPr>
          <w:b/>
          <w:bCs/>
          <w:sz w:val="44"/>
          <w:szCs w:val="44"/>
          <w:lang w:val="zh-CN"/>
        </w:rPr>
      </w:pPr>
    </w:p>
    <w:p w14:paraId="5ADC807E">
      <w:pPr>
        <w:spacing w:line="560" w:lineRule="exact"/>
        <w:ind w:firstLine="880"/>
        <w:rPr>
          <w:b/>
          <w:bCs/>
          <w:sz w:val="44"/>
          <w:szCs w:val="44"/>
          <w:lang w:val="zh-CN"/>
        </w:rPr>
      </w:pPr>
    </w:p>
    <w:p w14:paraId="583A5443">
      <w:pPr>
        <w:pStyle w:val="46"/>
        <w:spacing w:line="240" w:lineRule="auto"/>
        <w:jc w:val="center"/>
        <w:rPr>
          <w:rFonts w:ascii="Times New Roman" w:hAnsi="Times New Roman"/>
        </w:rPr>
      </w:pPr>
      <w:r>
        <w:fldChar w:fldCharType="begin"/>
      </w:r>
      <w:r>
        <w:instrText xml:space="preserve"> HYPERLINK \l "_Toc22742" </w:instrText>
      </w:r>
      <w:r>
        <w:fldChar w:fldCharType="separate"/>
      </w:r>
      <w:r>
        <w:rPr>
          <w:rFonts w:hint="eastAsia" w:ascii="黑体" w:hAnsi="黑体" w:eastAsia="黑体" w:cs="黑体"/>
          <w:color w:val="auto"/>
          <w:sz w:val="32"/>
          <w:szCs w:val="32"/>
          <w:lang w:val="zh-CN"/>
        </w:rPr>
        <w:t>目录</w:t>
      </w:r>
      <w:r>
        <w:rPr>
          <w:rFonts w:hint="eastAsia" w:ascii="黑体" w:hAnsi="黑体" w:eastAsia="黑体" w:cs="黑体"/>
          <w:color w:val="auto"/>
          <w:sz w:val="32"/>
          <w:szCs w:val="32"/>
          <w:lang w:val="zh-CN"/>
        </w:rPr>
        <w:fldChar w:fldCharType="end"/>
      </w:r>
    </w:p>
    <w:p w14:paraId="18A9EBDC">
      <w:pPr>
        <w:pStyle w:val="12"/>
        <w:tabs>
          <w:tab w:val="right" w:leader="dot" w:pos="8845"/>
          <w:tab w:val="clear" w:pos="8296"/>
        </w:tabs>
      </w:pPr>
      <w:r>
        <w:fldChar w:fldCharType="begin"/>
      </w:r>
      <w:r>
        <w:instrText xml:space="preserve"> TOC \o "1-3" \h \z \u </w:instrText>
      </w:r>
      <w:r>
        <w:fldChar w:fldCharType="separate"/>
      </w:r>
      <w:r>
        <w:fldChar w:fldCharType="begin"/>
      </w:r>
      <w:r>
        <w:instrText xml:space="preserve"> HYPERLINK \l _Toc31124 </w:instrText>
      </w:r>
      <w:r>
        <w:fldChar w:fldCharType="separate"/>
      </w:r>
      <w:r>
        <w:rPr>
          <w:rFonts w:hint="eastAsia" w:cs="黑体"/>
          <w:lang w:val="en-US"/>
        </w:rPr>
        <w:t>1关于本报告</w:t>
      </w:r>
      <w:r>
        <w:tab/>
      </w:r>
      <w:r>
        <w:fldChar w:fldCharType="begin"/>
      </w:r>
      <w:r>
        <w:instrText xml:space="preserve"> PAGEREF _Toc31124 \h </w:instrText>
      </w:r>
      <w:r>
        <w:fldChar w:fldCharType="separate"/>
      </w:r>
      <w:r>
        <w:t>4</w:t>
      </w:r>
      <w:r>
        <w:fldChar w:fldCharType="end"/>
      </w:r>
      <w:r>
        <w:fldChar w:fldCharType="end"/>
      </w:r>
    </w:p>
    <w:p w14:paraId="6039C9C7">
      <w:pPr>
        <w:pStyle w:val="14"/>
        <w:tabs>
          <w:tab w:val="right" w:leader="dot" w:pos="8845"/>
          <w:tab w:val="clear" w:pos="8296"/>
        </w:tabs>
      </w:pPr>
      <w:r>
        <w:rPr>
          <w:bCs/>
          <w:lang w:val="zh-CN"/>
        </w:rPr>
        <w:fldChar w:fldCharType="begin"/>
      </w:r>
      <w:r>
        <w:rPr>
          <w:bCs/>
          <w:lang w:val="zh-CN"/>
        </w:rPr>
        <w:instrText xml:space="preserve"> HYPERLINK \l _Toc4092 </w:instrText>
      </w:r>
      <w:r>
        <w:rPr>
          <w:bCs/>
          <w:lang w:val="zh-CN"/>
        </w:rPr>
        <w:fldChar w:fldCharType="separate"/>
      </w:r>
      <w:r>
        <w:rPr>
          <w:rFonts w:ascii="Times New Roman" w:hAnsi="Times New Roman"/>
        </w:rPr>
        <w:t>1.1涵盖期间 </w:t>
      </w:r>
      <w:r>
        <w:tab/>
      </w:r>
      <w:r>
        <w:fldChar w:fldCharType="begin"/>
      </w:r>
      <w:r>
        <w:instrText xml:space="preserve"> PAGEREF _Toc4092 \h </w:instrText>
      </w:r>
      <w:r>
        <w:fldChar w:fldCharType="separate"/>
      </w:r>
      <w:r>
        <w:t>4</w:t>
      </w:r>
      <w:r>
        <w:fldChar w:fldCharType="end"/>
      </w:r>
      <w:r>
        <w:rPr>
          <w:bCs/>
          <w:lang w:val="zh-CN"/>
        </w:rPr>
        <w:fldChar w:fldCharType="end"/>
      </w:r>
    </w:p>
    <w:p w14:paraId="792C4D82">
      <w:pPr>
        <w:pStyle w:val="14"/>
        <w:tabs>
          <w:tab w:val="right" w:leader="dot" w:pos="8845"/>
          <w:tab w:val="clear" w:pos="8296"/>
        </w:tabs>
      </w:pPr>
      <w:r>
        <w:rPr>
          <w:bCs/>
          <w:lang w:val="zh-CN"/>
        </w:rPr>
        <w:fldChar w:fldCharType="begin"/>
      </w:r>
      <w:r>
        <w:rPr>
          <w:bCs/>
          <w:lang w:val="zh-CN"/>
        </w:rPr>
        <w:instrText xml:space="preserve"> HYPERLINK \l _Toc11964 </w:instrText>
      </w:r>
      <w:r>
        <w:rPr>
          <w:bCs/>
          <w:lang w:val="zh-CN"/>
        </w:rPr>
        <w:fldChar w:fldCharType="separate"/>
      </w:r>
      <w:r>
        <w:rPr>
          <w:rFonts w:ascii="Times New Roman" w:hAnsi="Times New Roman"/>
        </w:rPr>
        <w:t>1.2报告周期</w:t>
      </w:r>
      <w:r>
        <w:tab/>
      </w:r>
      <w:r>
        <w:fldChar w:fldCharType="begin"/>
      </w:r>
      <w:r>
        <w:instrText xml:space="preserve"> PAGEREF _Toc11964 \h </w:instrText>
      </w:r>
      <w:r>
        <w:fldChar w:fldCharType="separate"/>
      </w:r>
      <w:r>
        <w:t>5</w:t>
      </w:r>
      <w:r>
        <w:fldChar w:fldCharType="end"/>
      </w:r>
      <w:r>
        <w:rPr>
          <w:bCs/>
          <w:lang w:val="zh-CN"/>
        </w:rPr>
        <w:fldChar w:fldCharType="end"/>
      </w:r>
    </w:p>
    <w:p w14:paraId="5D5383B9">
      <w:pPr>
        <w:pStyle w:val="14"/>
        <w:tabs>
          <w:tab w:val="right" w:leader="dot" w:pos="8845"/>
          <w:tab w:val="clear" w:pos="8296"/>
        </w:tabs>
      </w:pPr>
      <w:r>
        <w:rPr>
          <w:bCs/>
          <w:lang w:val="zh-CN"/>
        </w:rPr>
        <w:fldChar w:fldCharType="begin"/>
      </w:r>
      <w:r>
        <w:rPr>
          <w:bCs/>
          <w:lang w:val="zh-CN"/>
        </w:rPr>
        <w:instrText xml:space="preserve"> HYPERLINK \l _Toc32642 </w:instrText>
      </w:r>
      <w:r>
        <w:rPr>
          <w:bCs/>
          <w:lang w:val="zh-CN"/>
        </w:rPr>
        <w:fldChar w:fldCharType="separate"/>
      </w:r>
      <w:r>
        <w:rPr>
          <w:rFonts w:ascii="Times New Roman" w:hAnsi="Times New Roman"/>
        </w:rPr>
        <w:t>1.3报告范围</w:t>
      </w:r>
      <w:r>
        <w:tab/>
      </w:r>
      <w:r>
        <w:fldChar w:fldCharType="begin"/>
      </w:r>
      <w:r>
        <w:instrText xml:space="preserve"> PAGEREF _Toc32642 \h </w:instrText>
      </w:r>
      <w:r>
        <w:fldChar w:fldCharType="separate"/>
      </w:r>
      <w:r>
        <w:t>5</w:t>
      </w:r>
      <w:r>
        <w:fldChar w:fldCharType="end"/>
      </w:r>
      <w:r>
        <w:rPr>
          <w:bCs/>
          <w:lang w:val="zh-CN"/>
        </w:rPr>
        <w:fldChar w:fldCharType="end"/>
      </w:r>
    </w:p>
    <w:p w14:paraId="3F9A51B5">
      <w:pPr>
        <w:pStyle w:val="14"/>
        <w:tabs>
          <w:tab w:val="right" w:leader="dot" w:pos="8845"/>
          <w:tab w:val="clear" w:pos="8296"/>
        </w:tabs>
      </w:pPr>
      <w:r>
        <w:rPr>
          <w:bCs/>
          <w:lang w:val="zh-CN"/>
        </w:rPr>
        <w:fldChar w:fldCharType="begin"/>
      </w:r>
      <w:r>
        <w:rPr>
          <w:bCs/>
          <w:lang w:val="zh-CN"/>
        </w:rPr>
        <w:instrText xml:space="preserve"> HYPERLINK \l _Toc19784 </w:instrText>
      </w:r>
      <w:r>
        <w:rPr>
          <w:bCs/>
          <w:lang w:val="zh-CN"/>
        </w:rPr>
        <w:fldChar w:fldCharType="separate"/>
      </w:r>
      <w:r>
        <w:rPr>
          <w:rFonts w:ascii="Times New Roman" w:hAnsi="Times New Roman"/>
        </w:rPr>
        <w:t>1.4报告数据说明</w:t>
      </w:r>
      <w:r>
        <w:tab/>
      </w:r>
      <w:r>
        <w:fldChar w:fldCharType="begin"/>
      </w:r>
      <w:r>
        <w:instrText xml:space="preserve"> PAGEREF _Toc19784 \h </w:instrText>
      </w:r>
      <w:r>
        <w:fldChar w:fldCharType="separate"/>
      </w:r>
      <w:r>
        <w:t>5</w:t>
      </w:r>
      <w:r>
        <w:fldChar w:fldCharType="end"/>
      </w:r>
      <w:r>
        <w:rPr>
          <w:bCs/>
          <w:lang w:val="zh-CN"/>
        </w:rPr>
        <w:fldChar w:fldCharType="end"/>
      </w:r>
    </w:p>
    <w:p w14:paraId="6F01DAC1">
      <w:pPr>
        <w:pStyle w:val="14"/>
        <w:tabs>
          <w:tab w:val="right" w:leader="dot" w:pos="8845"/>
          <w:tab w:val="clear" w:pos="8296"/>
        </w:tabs>
      </w:pPr>
      <w:r>
        <w:rPr>
          <w:bCs/>
          <w:lang w:val="zh-CN"/>
        </w:rPr>
        <w:fldChar w:fldCharType="begin"/>
      </w:r>
      <w:r>
        <w:rPr>
          <w:bCs/>
          <w:lang w:val="zh-CN"/>
        </w:rPr>
        <w:instrText xml:space="preserve"> HYPERLINK \l _Toc3615 </w:instrText>
      </w:r>
      <w:r>
        <w:rPr>
          <w:bCs/>
          <w:lang w:val="zh-CN"/>
        </w:rPr>
        <w:fldChar w:fldCharType="separate"/>
      </w:r>
      <w:r>
        <w:rPr>
          <w:rFonts w:ascii="Times New Roman" w:hAnsi="Times New Roman"/>
        </w:rPr>
        <w:t>1.5编制依据</w:t>
      </w:r>
      <w:r>
        <w:tab/>
      </w:r>
      <w:r>
        <w:fldChar w:fldCharType="begin"/>
      </w:r>
      <w:r>
        <w:instrText xml:space="preserve"> PAGEREF _Toc3615 \h </w:instrText>
      </w:r>
      <w:r>
        <w:fldChar w:fldCharType="separate"/>
      </w:r>
      <w:r>
        <w:t>5</w:t>
      </w:r>
      <w:r>
        <w:fldChar w:fldCharType="end"/>
      </w:r>
      <w:r>
        <w:rPr>
          <w:bCs/>
          <w:lang w:val="zh-CN"/>
        </w:rPr>
        <w:fldChar w:fldCharType="end"/>
      </w:r>
    </w:p>
    <w:p w14:paraId="0C0814F8">
      <w:pPr>
        <w:pStyle w:val="12"/>
        <w:tabs>
          <w:tab w:val="right" w:leader="dot" w:pos="8845"/>
          <w:tab w:val="clear" w:pos="8296"/>
        </w:tabs>
      </w:pPr>
      <w:r>
        <w:rPr>
          <w:bCs/>
          <w:lang w:val="zh-CN"/>
        </w:rPr>
        <w:fldChar w:fldCharType="begin"/>
      </w:r>
      <w:r>
        <w:rPr>
          <w:bCs/>
          <w:lang w:val="zh-CN"/>
        </w:rPr>
        <w:instrText xml:space="preserve"> HYPERLINK \l _Toc19920 </w:instrText>
      </w:r>
      <w:r>
        <w:rPr>
          <w:bCs/>
          <w:lang w:val="zh-CN"/>
        </w:rPr>
        <w:fldChar w:fldCharType="separate"/>
      </w:r>
      <w:r>
        <w:rPr>
          <w:rFonts w:ascii="Times New Roman" w:hAnsi="Times New Roman"/>
          <w:lang w:val="en-US"/>
        </w:rPr>
        <w:t>2年度概况</w:t>
      </w:r>
      <w:r>
        <w:tab/>
      </w:r>
      <w:r>
        <w:fldChar w:fldCharType="begin"/>
      </w:r>
      <w:r>
        <w:instrText xml:space="preserve"> PAGEREF _Toc19920 \h </w:instrText>
      </w:r>
      <w:r>
        <w:fldChar w:fldCharType="separate"/>
      </w:r>
      <w:r>
        <w:t>5</w:t>
      </w:r>
      <w:r>
        <w:fldChar w:fldCharType="end"/>
      </w:r>
      <w:r>
        <w:rPr>
          <w:bCs/>
          <w:lang w:val="zh-CN"/>
        </w:rPr>
        <w:fldChar w:fldCharType="end"/>
      </w:r>
    </w:p>
    <w:p w14:paraId="47565B39">
      <w:pPr>
        <w:pStyle w:val="14"/>
        <w:tabs>
          <w:tab w:val="right" w:leader="dot" w:pos="8845"/>
          <w:tab w:val="clear" w:pos="8296"/>
        </w:tabs>
      </w:pPr>
      <w:r>
        <w:rPr>
          <w:bCs/>
          <w:lang w:val="zh-CN"/>
        </w:rPr>
        <w:fldChar w:fldCharType="begin"/>
      </w:r>
      <w:r>
        <w:rPr>
          <w:bCs/>
          <w:lang w:val="zh-CN"/>
        </w:rPr>
        <w:instrText xml:space="preserve"> HYPERLINK \l _Toc17929 </w:instrText>
      </w:r>
      <w:r>
        <w:rPr>
          <w:bCs/>
          <w:lang w:val="zh-CN"/>
        </w:rPr>
        <w:fldChar w:fldCharType="separate"/>
      </w:r>
      <w:r>
        <w:rPr>
          <w:rFonts w:ascii="Times New Roman" w:hAnsi="Times New Roman"/>
        </w:rPr>
        <w:t>2.1总体概况</w:t>
      </w:r>
      <w:r>
        <w:tab/>
      </w:r>
      <w:r>
        <w:fldChar w:fldCharType="begin"/>
      </w:r>
      <w:r>
        <w:instrText xml:space="preserve"> PAGEREF _Toc17929 \h </w:instrText>
      </w:r>
      <w:r>
        <w:fldChar w:fldCharType="separate"/>
      </w:r>
      <w:r>
        <w:t>5</w:t>
      </w:r>
      <w:r>
        <w:fldChar w:fldCharType="end"/>
      </w:r>
      <w:r>
        <w:rPr>
          <w:bCs/>
          <w:lang w:val="zh-CN"/>
        </w:rPr>
        <w:fldChar w:fldCharType="end"/>
      </w:r>
    </w:p>
    <w:p w14:paraId="562E9FF5">
      <w:pPr>
        <w:pStyle w:val="8"/>
        <w:tabs>
          <w:tab w:val="right" w:leader="dot" w:pos="8845"/>
        </w:tabs>
      </w:pPr>
      <w:r>
        <w:rPr>
          <w:bCs/>
          <w:lang w:val="zh-CN"/>
        </w:rPr>
        <w:fldChar w:fldCharType="begin"/>
      </w:r>
      <w:r>
        <w:rPr>
          <w:bCs/>
          <w:lang w:val="zh-CN"/>
        </w:rPr>
        <w:instrText xml:space="preserve"> HYPERLINK \l _Toc15787 </w:instrText>
      </w:r>
      <w:r>
        <w:rPr>
          <w:bCs/>
          <w:lang w:val="zh-CN"/>
        </w:rPr>
        <w:fldChar w:fldCharType="separate"/>
      </w:r>
      <w:r>
        <w:rPr>
          <w:rFonts w:eastAsia="楷体_GB2312"/>
          <w:szCs w:val="32"/>
        </w:rPr>
        <w:t>2.1.1</w:t>
      </w:r>
      <w:r>
        <w:rPr>
          <w:rFonts w:hint="eastAsia" w:ascii="仿宋_GB2312" w:eastAsia="仿宋_GB2312"/>
          <w:szCs w:val="32"/>
        </w:rPr>
        <w:t>加快</w:t>
      </w:r>
      <w:r>
        <w:rPr>
          <w:rFonts w:hint="eastAsia" w:ascii="仿宋_GB2312" w:eastAsia="仿宋_GB2312"/>
          <w:bCs/>
          <w:szCs w:val="32"/>
        </w:rPr>
        <w:t>“碳中和”银行建设</w:t>
      </w:r>
      <w:r>
        <w:tab/>
      </w:r>
      <w:r>
        <w:fldChar w:fldCharType="begin"/>
      </w:r>
      <w:r>
        <w:instrText xml:space="preserve"> PAGEREF _Toc15787 \h </w:instrText>
      </w:r>
      <w:r>
        <w:fldChar w:fldCharType="separate"/>
      </w:r>
      <w:r>
        <w:t>6</w:t>
      </w:r>
      <w:r>
        <w:fldChar w:fldCharType="end"/>
      </w:r>
      <w:r>
        <w:rPr>
          <w:bCs/>
          <w:lang w:val="zh-CN"/>
        </w:rPr>
        <w:fldChar w:fldCharType="end"/>
      </w:r>
    </w:p>
    <w:p w14:paraId="77B25757">
      <w:pPr>
        <w:pStyle w:val="8"/>
        <w:tabs>
          <w:tab w:val="right" w:leader="dot" w:pos="8845"/>
        </w:tabs>
      </w:pPr>
      <w:r>
        <w:rPr>
          <w:bCs/>
          <w:lang w:val="zh-CN"/>
        </w:rPr>
        <w:fldChar w:fldCharType="begin"/>
      </w:r>
      <w:r>
        <w:rPr>
          <w:bCs/>
          <w:lang w:val="zh-CN"/>
        </w:rPr>
        <w:instrText xml:space="preserve"> HYPERLINK \l _Toc25425 </w:instrText>
      </w:r>
      <w:r>
        <w:rPr>
          <w:bCs/>
          <w:lang w:val="zh-CN"/>
        </w:rPr>
        <w:fldChar w:fldCharType="separate"/>
      </w:r>
      <w:r>
        <w:rPr>
          <w:rFonts w:ascii="Times New Roman" w:hAnsi="Times New Roman"/>
          <w:kern w:val="2"/>
          <w:lang w:val="en-US" w:eastAsia="zh-CN"/>
        </w:rPr>
        <w:t>2.1.2</w:t>
      </w:r>
      <w:r>
        <w:rPr>
          <w:rFonts w:hint="eastAsia" w:ascii="仿宋_GB2312" w:hAnsi="仿宋_GB2312" w:eastAsia="仿宋_GB2312" w:cs="仿宋_GB2312"/>
          <w:kern w:val="2"/>
          <w:lang w:val="en-US" w:eastAsia="zh-CN"/>
        </w:rPr>
        <w:t>丰富绿色产品体系</w:t>
      </w:r>
      <w:r>
        <w:tab/>
      </w:r>
      <w:r>
        <w:fldChar w:fldCharType="begin"/>
      </w:r>
      <w:r>
        <w:instrText xml:space="preserve"> PAGEREF _Toc25425 \h </w:instrText>
      </w:r>
      <w:r>
        <w:fldChar w:fldCharType="separate"/>
      </w:r>
      <w:r>
        <w:t>6</w:t>
      </w:r>
      <w:r>
        <w:fldChar w:fldCharType="end"/>
      </w:r>
      <w:r>
        <w:rPr>
          <w:bCs/>
          <w:lang w:val="zh-CN"/>
        </w:rPr>
        <w:fldChar w:fldCharType="end"/>
      </w:r>
    </w:p>
    <w:p w14:paraId="481FC0D2">
      <w:pPr>
        <w:pStyle w:val="8"/>
        <w:tabs>
          <w:tab w:val="right" w:leader="dot" w:pos="8845"/>
        </w:tabs>
      </w:pPr>
      <w:r>
        <w:rPr>
          <w:bCs/>
          <w:lang w:val="zh-CN"/>
        </w:rPr>
        <w:fldChar w:fldCharType="begin"/>
      </w:r>
      <w:r>
        <w:rPr>
          <w:bCs/>
          <w:lang w:val="zh-CN"/>
        </w:rPr>
        <w:instrText xml:space="preserve"> HYPERLINK \l _Toc1136 </w:instrText>
      </w:r>
      <w:r>
        <w:rPr>
          <w:bCs/>
          <w:lang w:val="zh-CN"/>
        </w:rPr>
        <w:fldChar w:fldCharType="separate"/>
      </w:r>
      <w:r>
        <w:rPr>
          <w:rFonts w:ascii="Times New Roman" w:hAnsi="Times New Roman"/>
          <w:kern w:val="2"/>
          <w:lang w:val="en-US" w:eastAsia="zh-CN"/>
        </w:rPr>
        <w:t>2.1.</w:t>
      </w:r>
      <w:r>
        <w:rPr>
          <w:rFonts w:hint="eastAsia" w:ascii="Times New Roman" w:hAnsi="Times New Roman"/>
          <w:kern w:val="2"/>
          <w:lang w:val="en-US" w:eastAsia="zh-CN"/>
        </w:rPr>
        <w:t>3</w:t>
      </w:r>
      <w:r>
        <w:rPr>
          <w:rFonts w:ascii="Times New Roman" w:hAnsi="Times New Roman" w:eastAsia="仿宋_GB2312"/>
          <w:bCs/>
          <w:kern w:val="2"/>
          <w:lang w:val="en-US" w:eastAsia="zh-CN"/>
        </w:rPr>
        <w:t>提升自身能力建设</w:t>
      </w:r>
      <w:r>
        <w:tab/>
      </w:r>
      <w:r>
        <w:fldChar w:fldCharType="begin"/>
      </w:r>
      <w:r>
        <w:instrText xml:space="preserve"> PAGEREF _Toc1136 \h </w:instrText>
      </w:r>
      <w:r>
        <w:fldChar w:fldCharType="separate"/>
      </w:r>
      <w:r>
        <w:t>7</w:t>
      </w:r>
      <w:r>
        <w:fldChar w:fldCharType="end"/>
      </w:r>
      <w:r>
        <w:rPr>
          <w:bCs/>
          <w:lang w:val="zh-CN"/>
        </w:rPr>
        <w:fldChar w:fldCharType="end"/>
      </w:r>
    </w:p>
    <w:p w14:paraId="387E30BC">
      <w:pPr>
        <w:pStyle w:val="8"/>
        <w:tabs>
          <w:tab w:val="right" w:leader="dot" w:pos="8845"/>
        </w:tabs>
      </w:pPr>
      <w:r>
        <w:rPr>
          <w:bCs/>
          <w:lang w:val="zh-CN"/>
        </w:rPr>
        <w:fldChar w:fldCharType="begin"/>
      </w:r>
      <w:r>
        <w:rPr>
          <w:bCs/>
          <w:lang w:val="zh-CN"/>
        </w:rPr>
        <w:instrText xml:space="preserve"> HYPERLINK \l _Toc973 </w:instrText>
      </w:r>
      <w:r>
        <w:rPr>
          <w:bCs/>
          <w:lang w:val="zh-CN"/>
        </w:rPr>
        <w:fldChar w:fldCharType="separate"/>
      </w:r>
      <w:r>
        <w:rPr>
          <w:rFonts w:hint="eastAsia" w:ascii="Times New Roman" w:hAnsi="Times New Roman"/>
          <w:kern w:val="2"/>
          <w:lang w:val="en-US" w:eastAsia="zh-CN"/>
        </w:rPr>
        <w:t>2.1.4</w:t>
      </w:r>
      <w:r>
        <w:rPr>
          <w:rFonts w:ascii="Times New Roman" w:hAnsi="Times New Roman" w:eastAsia="仿宋_GB2312"/>
          <w:bCs/>
          <w:kern w:val="2"/>
          <w:lang w:val="en-US" w:eastAsia="zh-CN"/>
        </w:rPr>
        <w:t>开展相关交流活动</w:t>
      </w:r>
      <w:r>
        <w:tab/>
      </w:r>
      <w:r>
        <w:fldChar w:fldCharType="begin"/>
      </w:r>
      <w:r>
        <w:instrText xml:space="preserve"> PAGEREF _Toc973 \h </w:instrText>
      </w:r>
      <w:r>
        <w:fldChar w:fldCharType="separate"/>
      </w:r>
      <w:r>
        <w:t>8</w:t>
      </w:r>
      <w:r>
        <w:fldChar w:fldCharType="end"/>
      </w:r>
      <w:r>
        <w:rPr>
          <w:bCs/>
          <w:lang w:val="zh-CN"/>
        </w:rPr>
        <w:fldChar w:fldCharType="end"/>
      </w:r>
    </w:p>
    <w:p w14:paraId="64BCAB5F">
      <w:pPr>
        <w:pStyle w:val="14"/>
        <w:tabs>
          <w:tab w:val="right" w:leader="dot" w:pos="8845"/>
          <w:tab w:val="clear" w:pos="8296"/>
        </w:tabs>
      </w:pPr>
      <w:r>
        <w:rPr>
          <w:bCs/>
          <w:lang w:val="zh-CN"/>
        </w:rPr>
        <w:fldChar w:fldCharType="begin"/>
      </w:r>
      <w:r>
        <w:rPr>
          <w:bCs/>
          <w:lang w:val="zh-CN"/>
        </w:rPr>
        <w:instrText xml:space="preserve"> HYPERLINK \l _Toc21172 </w:instrText>
      </w:r>
      <w:r>
        <w:rPr>
          <w:bCs/>
          <w:lang w:val="zh-CN"/>
        </w:rPr>
        <w:fldChar w:fldCharType="separate"/>
      </w:r>
      <w:r>
        <w:rPr>
          <w:rFonts w:ascii="Times New Roman" w:hAnsi="Times New Roman"/>
        </w:rPr>
        <w:t>2.2关键成果绩效</w:t>
      </w:r>
      <w:r>
        <w:tab/>
      </w:r>
      <w:r>
        <w:fldChar w:fldCharType="begin"/>
      </w:r>
      <w:r>
        <w:instrText xml:space="preserve"> PAGEREF _Toc21172 \h </w:instrText>
      </w:r>
      <w:r>
        <w:fldChar w:fldCharType="separate"/>
      </w:r>
      <w:r>
        <w:t>8</w:t>
      </w:r>
      <w:r>
        <w:fldChar w:fldCharType="end"/>
      </w:r>
      <w:r>
        <w:rPr>
          <w:bCs/>
          <w:lang w:val="zh-CN"/>
        </w:rPr>
        <w:fldChar w:fldCharType="end"/>
      </w:r>
    </w:p>
    <w:p w14:paraId="44E7EEB8">
      <w:pPr>
        <w:pStyle w:val="8"/>
        <w:tabs>
          <w:tab w:val="right" w:leader="dot" w:pos="8845"/>
        </w:tabs>
      </w:pPr>
      <w:r>
        <w:rPr>
          <w:bCs/>
          <w:lang w:val="zh-CN"/>
        </w:rPr>
        <w:fldChar w:fldCharType="begin"/>
      </w:r>
      <w:r>
        <w:rPr>
          <w:bCs/>
          <w:lang w:val="zh-CN"/>
        </w:rPr>
        <w:instrText xml:space="preserve"> HYPERLINK \l _Toc24441 </w:instrText>
      </w:r>
      <w:r>
        <w:rPr>
          <w:bCs/>
          <w:lang w:val="zh-CN"/>
        </w:rPr>
        <w:fldChar w:fldCharType="separate"/>
      </w:r>
      <w:r>
        <w:rPr>
          <w:rFonts w:ascii="Times New Roman" w:hAnsi="Times New Roman"/>
          <w:kern w:val="2"/>
          <w:lang w:val="en-US" w:eastAsia="zh-CN"/>
        </w:rPr>
        <w:t>2.2.1</w:t>
      </w:r>
      <w:r>
        <w:rPr>
          <w:rFonts w:hint="eastAsia" w:ascii="仿宋_GB2312" w:hAnsi="Times New Roman" w:eastAsia="仿宋_GB2312"/>
          <w:kern w:val="2"/>
          <w:lang w:val="en-US" w:eastAsia="zh-CN"/>
        </w:rPr>
        <w:t>绿色金融业务情况</w:t>
      </w:r>
      <w:r>
        <w:tab/>
      </w:r>
      <w:r>
        <w:fldChar w:fldCharType="begin"/>
      </w:r>
      <w:r>
        <w:instrText xml:space="preserve"> PAGEREF _Toc24441 \h </w:instrText>
      </w:r>
      <w:r>
        <w:fldChar w:fldCharType="separate"/>
      </w:r>
      <w:r>
        <w:t>8</w:t>
      </w:r>
      <w:r>
        <w:fldChar w:fldCharType="end"/>
      </w:r>
      <w:r>
        <w:rPr>
          <w:bCs/>
          <w:lang w:val="zh-CN"/>
        </w:rPr>
        <w:fldChar w:fldCharType="end"/>
      </w:r>
    </w:p>
    <w:p w14:paraId="0AD9BA15">
      <w:pPr>
        <w:pStyle w:val="8"/>
        <w:tabs>
          <w:tab w:val="right" w:leader="dot" w:pos="8845"/>
        </w:tabs>
      </w:pPr>
      <w:r>
        <w:rPr>
          <w:bCs/>
          <w:lang w:val="zh-CN"/>
        </w:rPr>
        <w:fldChar w:fldCharType="begin"/>
      </w:r>
      <w:r>
        <w:rPr>
          <w:bCs/>
          <w:lang w:val="zh-CN"/>
        </w:rPr>
        <w:instrText xml:space="preserve"> HYPERLINK \l _Toc27506 </w:instrText>
      </w:r>
      <w:r>
        <w:rPr>
          <w:bCs/>
          <w:lang w:val="zh-CN"/>
        </w:rPr>
        <w:fldChar w:fldCharType="separate"/>
      </w:r>
      <w:r>
        <w:rPr>
          <w:rFonts w:ascii="Times New Roman" w:hAnsi="Times New Roman"/>
          <w:kern w:val="2"/>
          <w:lang w:val="en-US" w:eastAsia="zh-CN"/>
        </w:rPr>
        <w:t>2.2.2</w:t>
      </w:r>
      <w:r>
        <w:rPr>
          <w:rFonts w:hint="eastAsia" w:ascii="仿宋_GB2312" w:hAnsi="Times New Roman" w:eastAsia="仿宋_GB2312"/>
          <w:kern w:val="2"/>
          <w:lang w:val="en-US" w:eastAsia="zh-CN"/>
        </w:rPr>
        <w:t>绿色办公运营情况</w:t>
      </w:r>
      <w:r>
        <w:tab/>
      </w:r>
      <w:r>
        <w:fldChar w:fldCharType="begin"/>
      </w:r>
      <w:r>
        <w:instrText xml:space="preserve"> PAGEREF _Toc27506 \h </w:instrText>
      </w:r>
      <w:r>
        <w:fldChar w:fldCharType="separate"/>
      </w:r>
      <w:r>
        <w:t>9</w:t>
      </w:r>
      <w:r>
        <w:fldChar w:fldCharType="end"/>
      </w:r>
      <w:r>
        <w:rPr>
          <w:bCs/>
          <w:lang w:val="zh-CN"/>
        </w:rPr>
        <w:fldChar w:fldCharType="end"/>
      </w:r>
    </w:p>
    <w:p w14:paraId="3DA04444">
      <w:pPr>
        <w:pStyle w:val="14"/>
        <w:tabs>
          <w:tab w:val="right" w:leader="dot" w:pos="8845"/>
          <w:tab w:val="clear" w:pos="8296"/>
        </w:tabs>
      </w:pPr>
      <w:r>
        <w:rPr>
          <w:bCs/>
          <w:lang w:val="zh-CN"/>
        </w:rPr>
        <w:fldChar w:fldCharType="begin"/>
      </w:r>
      <w:r>
        <w:rPr>
          <w:bCs/>
          <w:lang w:val="zh-CN"/>
        </w:rPr>
        <w:instrText xml:space="preserve"> HYPERLINK \l _Toc5278 </w:instrText>
      </w:r>
      <w:r>
        <w:rPr>
          <w:bCs/>
          <w:lang w:val="zh-CN"/>
        </w:rPr>
        <w:fldChar w:fldCharType="separate"/>
      </w:r>
      <w:r>
        <w:rPr>
          <w:rFonts w:ascii="Times New Roman" w:hAnsi="Times New Roman"/>
        </w:rPr>
        <w:t>2.3规划与目标</w:t>
      </w:r>
      <w:r>
        <w:tab/>
      </w:r>
      <w:r>
        <w:fldChar w:fldCharType="begin"/>
      </w:r>
      <w:r>
        <w:instrText xml:space="preserve"> PAGEREF _Toc5278 \h </w:instrText>
      </w:r>
      <w:r>
        <w:fldChar w:fldCharType="separate"/>
      </w:r>
      <w:r>
        <w:t>9</w:t>
      </w:r>
      <w:r>
        <w:fldChar w:fldCharType="end"/>
      </w:r>
      <w:r>
        <w:rPr>
          <w:bCs/>
          <w:lang w:val="zh-CN"/>
        </w:rPr>
        <w:fldChar w:fldCharType="end"/>
      </w:r>
    </w:p>
    <w:p w14:paraId="7E7CDE33">
      <w:pPr>
        <w:pStyle w:val="8"/>
        <w:tabs>
          <w:tab w:val="right" w:leader="dot" w:pos="8845"/>
        </w:tabs>
      </w:pPr>
      <w:r>
        <w:rPr>
          <w:bCs/>
          <w:lang w:val="zh-CN"/>
        </w:rPr>
        <w:fldChar w:fldCharType="begin"/>
      </w:r>
      <w:r>
        <w:rPr>
          <w:bCs/>
          <w:lang w:val="zh-CN"/>
        </w:rPr>
        <w:instrText xml:space="preserve"> HYPERLINK \l _Toc17923 </w:instrText>
      </w:r>
      <w:r>
        <w:rPr>
          <w:bCs/>
          <w:lang w:val="zh-CN"/>
        </w:rPr>
        <w:fldChar w:fldCharType="separate"/>
      </w:r>
      <w:r>
        <w:rPr>
          <w:rFonts w:ascii="Times New Roman" w:hAnsi="Times New Roman"/>
          <w:lang w:eastAsia="zh-CN"/>
        </w:rPr>
        <w:t>2.</w:t>
      </w:r>
      <w:r>
        <w:rPr>
          <w:rFonts w:ascii="Times New Roman" w:hAnsi="Times New Roman"/>
        </w:rPr>
        <w:t>3.1</w:t>
      </w:r>
      <w:r>
        <w:rPr>
          <w:rFonts w:hint="eastAsia" w:ascii="仿宋_GB2312" w:hAnsi="Times New Roman" w:eastAsia="仿宋_GB2312"/>
          <w:lang w:eastAsia="zh-CN"/>
        </w:rPr>
        <w:t>经营目标</w:t>
      </w:r>
      <w:r>
        <w:tab/>
      </w:r>
      <w:r>
        <w:fldChar w:fldCharType="begin"/>
      </w:r>
      <w:r>
        <w:instrText xml:space="preserve"> PAGEREF _Toc17923 \h </w:instrText>
      </w:r>
      <w:r>
        <w:fldChar w:fldCharType="separate"/>
      </w:r>
      <w:r>
        <w:t>9</w:t>
      </w:r>
      <w:r>
        <w:fldChar w:fldCharType="end"/>
      </w:r>
      <w:r>
        <w:rPr>
          <w:bCs/>
          <w:lang w:val="zh-CN"/>
        </w:rPr>
        <w:fldChar w:fldCharType="end"/>
      </w:r>
    </w:p>
    <w:p w14:paraId="3B3366E0">
      <w:pPr>
        <w:pStyle w:val="8"/>
        <w:tabs>
          <w:tab w:val="right" w:leader="dot" w:pos="8845"/>
        </w:tabs>
      </w:pPr>
      <w:r>
        <w:rPr>
          <w:bCs/>
          <w:lang w:val="zh-CN"/>
        </w:rPr>
        <w:fldChar w:fldCharType="begin"/>
      </w:r>
      <w:r>
        <w:rPr>
          <w:bCs/>
          <w:lang w:val="zh-CN"/>
        </w:rPr>
        <w:instrText xml:space="preserve"> HYPERLINK \l _Toc11911 </w:instrText>
      </w:r>
      <w:r>
        <w:rPr>
          <w:bCs/>
          <w:lang w:val="zh-CN"/>
        </w:rPr>
        <w:fldChar w:fldCharType="separate"/>
      </w:r>
      <w:r>
        <w:rPr>
          <w:rFonts w:ascii="Times New Roman" w:hAnsi="Times New Roman"/>
          <w:lang w:eastAsia="zh-CN"/>
        </w:rPr>
        <w:t>2.</w:t>
      </w:r>
      <w:r>
        <w:rPr>
          <w:rFonts w:ascii="Times New Roman" w:hAnsi="Times New Roman"/>
        </w:rPr>
        <w:t>3.2</w:t>
      </w:r>
      <w:r>
        <w:rPr>
          <w:rFonts w:ascii="仿宋_GB2312" w:hAnsi="Times New Roman" w:eastAsia="仿宋_GB2312"/>
          <w:lang w:eastAsia="zh-CN"/>
        </w:rPr>
        <w:t>运营目标</w:t>
      </w:r>
      <w:r>
        <w:tab/>
      </w:r>
      <w:r>
        <w:fldChar w:fldCharType="begin"/>
      </w:r>
      <w:r>
        <w:instrText xml:space="preserve"> PAGEREF _Toc11911 \h </w:instrText>
      </w:r>
      <w:r>
        <w:fldChar w:fldCharType="separate"/>
      </w:r>
      <w:r>
        <w:t>10</w:t>
      </w:r>
      <w:r>
        <w:fldChar w:fldCharType="end"/>
      </w:r>
      <w:r>
        <w:rPr>
          <w:bCs/>
          <w:lang w:val="zh-CN"/>
        </w:rPr>
        <w:fldChar w:fldCharType="end"/>
      </w:r>
    </w:p>
    <w:p w14:paraId="708BE6B4">
      <w:pPr>
        <w:pStyle w:val="12"/>
        <w:tabs>
          <w:tab w:val="right" w:leader="dot" w:pos="8845"/>
          <w:tab w:val="clear" w:pos="8296"/>
        </w:tabs>
      </w:pPr>
      <w:r>
        <w:rPr>
          <w:bCs/>
          <w:lang w:val="zh-CN"/>
        </w:rPr>
        <w:fldChar w:fldCharType="begin"/>
      </w:r>
      <w:r>
        <w:rPr>
          <w:bCs/>
          <w:lang w:val="zh-CN"/>
        </w:rPr>
        <w:instrText xml:space="preserve"> HYPERLINK \l _Toc13460 </w:instrText>
      </w:r>
      <w:r>
        <w:rPr>
          <w:bCs/>
          <w:lang w:val="zh-CN"/>
        </w:rPr>
        <w:fldChar w:fldCharType="separate"/>
      </w:r>
      <w:r>
        <w:rPr>
          <w:rFonts w:ascii="Times New Roman" w:hAnsi="Times New Roman"/>
          <w:lang w:val="en-US"/>
        </w:rPr>
        <w:t>3环境相关治理结构</w:t>
      </w:r>
      <w:r>
        <w:tab/>
      </w:r>
      <w:r>
        <w:fldChar w:fldCharType="begin"/>
      </w:r>
      <w:r>
        <w:instrText xml:space="preserve"> PAGEREF _Toc13460 \h </w:instrText>
      </w:r>
      <w:r>
        <w:fldChar w:fldCharType="separate"/>
      </w:r>
      <w:r>
        <w:t>10</w:t>
      </w:r>
      <w:r>
        <w:fldChar w:fldCharType="end"/>
      </w:r>
      <w:r>
        <w:rPr>
          <w:bCs/>
          <w:lang w:val="zh-CN"/>
        </w:rPr>
        <w:fldChar w:fldCharType="end"/>
      </w:r>
    </w:p>
    <w:p w14:paraId="6FF723C1">
      <w:pPr>
        <w:pStyle w:val="14"/>
        <w:tabs>
          <w:tab w:val="right" w:leader="dot" w:pos="8845"/>
          <w:tab w:val="clear" w:pos="8296"/>
        </w:tabs>
      </w:pPr>
      <w:r>
        <w:rPr>
          <w:bCs/>
          <w:lang w:val="zh-CN"/>
        </w:rPr>
        <w:fldChar w:fldCharType="begin"/>
      </w:r>
      <w:r>
        <w:rPr>
          <w:bCs/>
          <w:lang w:val="zh-CN"/>
        </w:rPr>
        <w:instrText xml:space="preserve"> HYPERLINK \l _Toc653 </w:instrText>
      </w:r>
      <w:r>
        <w:rPr>
          <w:bCs/>
          <w:lang w:val="zh-CN"/>
        </w:rPr>
        <w:fldChar w:fldCharType="separate"/>
      </w:r>
      <w:r>
        <w:rPr>
          <w:rFonts w:ascii="Times New Roman" w:hAnsi="Times New Roman"/>
        </w:rPr>
        <w:t>3.1董事会层面环境方面的职责设置</w:t>
      </w:r>
      <w:r>
        <w:tab/>
      </w:r>
      <w:r>
        <w:fldChar w:fldCharType="begin"/>
      </w:r>
      <w:r>
        <w:instrText xml:space="preserve"> PAGEREF _Toc653 \h </w:instrText>
      </w:r>
      <w:r>
        <w:fldChar w:fldCharType="separate"/>
      </w:r>
      <w:r>
        <w:t>10</w:t>
      </w:r>
      <w:r>
        <w:fldChar w:fldCharType="end"/>
      </w:r>
      <w:r>
        <w:rPr>
          <w:bCs/>
          <w:lang w:val="zh-CN"/>
        </w:rPr>
        <w:fldChar w:fldCharType="end"/>
      </w:r>
    </w:p>
    <w:p w14:paraId="0551EDB7">
      <w:pPr>
        <w:pStyle w:val="14"/>
        <w:tabs>
          <w:tab w:val="right" w:leader="dot" w:pos="8845"/>
          <w:tab w:val="clear" w:pos="8296"/>
        </w:tabs>
      </w:pPr>
      <w:r>
        <w:rPr>
          <w:bCs/>
          <w:lang w:val="zh-CN"/>
        </w:rPr>
        <w:fldChar w:fldCharType="begin"/>
      </w:r>
      <w:r>
        <w:rPr>
          <w:bCs/>
          <w:lang w:val="zh-CN"/>
        </w:rPr>
        <w:instrText xml:space="preserve"> HYPERLINK \l _Toc23412 </w:instrText>
      </w:r>
      <w:r>
        <w:rPr>
          <w:bCs/>
          <w:lang w:val="zh-CN"/>
        </w:rPr>
        <w:fldChar w:fldCharType="separate"/>
      </w:r>
      <w:r>
        <w:rPr>
          <w:rFonts w:ascii="Times New Roman" w:hAnsi="Times New Roman"/>
        </w:rPr>
        <w:t>3.2董事会层面以下环境方面的职责设置</w:t>
      </w:r>
      <w:r>
        <w:tab/>
      </w:r>
      <w:r>
        <w:fldChar w:fldCharType="begin"/>
      </w:r>
      <w:r>
        <w:instrText xml:space="preserve"> PAGEREF _Toc23412 \h </w:instrText>
      </w:r>
      <w:r>
        <w:fldChar w:fldCharType="separate"/>
      </w:r>
      <w:r>
        <w:t>10</w:t>
      </w:r>
      <w:r>
        <w:fldChar w:fldCharType="end"/>
      </w:r>
      <w:r>
        <w:rPr>
          <w:bCs/>
          <w:lang w:val="zh-CN"/>
        </w:rPr>
        <w:fldChar w:fldCharType="end"/>
      </w:r>
    </w:p>
    <w:p w14:paraId="0C1EDB70">
      <w:pPr>
        <w:pStyle w:val="8"/>
        <w:tabs>
          <w:tab w:val="right" w:leader="dot" w:pos="8845"/>
        </w:tabs>
      </w:pPr>
      <w:r>
        <w:rPr>
          <w:bCs/>
          <w:lang w:val="zh-CN"/>
        </w:rPr>
        <w:fldChar w:fldCharType="begin"/>
      </w:r>
      <w:r>
        <w:rPr>
          <w:bCs/>
          <w:lang w:val="zh-CN"/>
        </w:rPr>
        <w:instrText xml:space="preserve"> HYPERLINK \l _Toc7864 </w:instrText>
      </w:r>
      <w:r>
        <w:rPr>
          <w:bCs/>
          <w:lang w:val="zh-CN"/>
        </w:rPr>
        <w:fldChar w:fldCharType="separate"/>
      </w:r>
      <w:r>
        <w:rPr>
          <w:rFonts w:ascii="Times New Roman" w:hAnsi="Times New Roman"/>
          <w:lang w:eastAsia="zh-CN"/>
        </w:rPr>
        <w:t>3.2.1</w:t>
      </w:r>
      <w:r>
        <w:rPr>
          <w:rFonts w:hint="eastAsia" w:ascii="仿宋_GB2312" w:hAnsi="Times New Roman" w:eastAsia="仿宋_GB2312"/>
          <w:lang w:eastAsia="zh-CN"/>
        </w:rPr>
        <w:t>成立绿色金融事业部</w:t>
      </w:r>
      <w:r>
        <w:tab/>
      </w:r>
      <w:r>
        <w:fldChar w:fldCharType="begin"/>
      </w:r>
      <w:r>
        <w:instrText xml:space="preserve"> PAGEREF _Toc7864 \h </w:instrText>
      </w:r>
      <w:r>
        <w:fldChar w:fldCharType="separate"/>
      </w:r>
      <w:r>
        <w:t>10</w:t>
      </w:r>
      <w:r>
        <w:fldChar w:fldCharType="end"/>
      </w:r>
      <w:r>
        <w:rPr>
          <w:bCs/>
          <w:lang w:val="zh-CN"/>
        </w:rPr>
        <w:fldChar w:fldCharType="end"/>
      </w:r>
    </w:p>
    <w:p w14:paraId="552DCF11">
      <w:pPr>
        <w:pStyle w:val="8"/>
        <w:tabs>
          <w:tab w:val="right" w:leader="dot" w:pos="8845"/>
        </w:tabs>
      </w:pPr>
      <w:r>
        <w:rPr>
          <w:bCs/>
          <w:lang w:val="zh-CN"/>
        </w:rPr>
        <w:fldChar w:fldCharType="begin"/>
      </w:r>
      <w:r>
        <w:rPr>
          <w:bCs/>
          <w:lang w:val="zh-CN"/>
        </w:rPr>
        <w:instrText xml:space="preserve"> HYPERLINK \l _Toc26549 </w:instrText>
      </w:r>
      <w:r>
        <w:rPr>
          <w:bCs/>
          <w:lang w:val="zh-CN"/>
        </w:rPr>
        <w:fldChar w:fldCharType="separate"/>
      </w:r>
      <w:r>
        <w:rPr>
          <w:rFonts w:ascii="Times New Roman" w:hAnsi="Times New Roman"/>
          <w:lang w:eastAsia="zh-CN"/>
        </w:rPr>
        <w:t>3.2.2</w:t>
      </w:r>
      <w:r>
        <w:rPr>
          <w:rFonts w:hint="eastAsia" w:ascii="仿宋_GB2312" w:hAnsi="Times New Roman" w:eastAsia="仿宋_GB2312"/>
          <w:lang w:eastAsia="zh-CN"/>
        </w:rPr>
        <w:t>创建绿色支行</w:t>
      </w:r>
      <w:r>
        <w:tab/>
      </w:r>
      <w:r>
        <w:fldChar w:fldCharType="begin"/>
      </w:r>
      <w:r>
        <w:instrText xml:space="preserve"> PAGEREF _Toc26549 \h </w:instrText>
      </w:r>
      <w:r>
        <w:fldChar w:fldCharType="separate"/>
      </w:r>
      <w:r>
        <w:t>11</w:t>
      </w:r>
      <w:r>
        <w:fldChar w:fldCharType="end"/>
      </w:r>
      <w:r>
        <w:rPr>
          <w:bCs/>
          <w:lang w:val="zh-CN"/>
        </w:rPr>
        <w:fldChar w:fldCharType="end"/>
      </w:r>
    </w:p>
    <w:p w14:paraId="09E5F99B">
      <w:pPr>
        <w:pStyle w:val="12"/>
        <w:tabs>
          <w:tab w:val="right" w:leader="dot" w:pos="8845"/>
          <w:tab w:val="clear" w:pos="8296"/>
        </w:tabs>
      </w:pPr>
      <w:r>
        <w:rPr>
          <w:bCs/>
          <w:lang w:val="zh-CN"/>
        </w:rPr>
        <w:fldChar w:fldCharType="begin"/>
      </w:r>
      <w:r>
        <w:rPr>
          <w:bCs/>
          <w:lang w:val="zh-CN"/>
        </w:rPr>
        <w:instrText xml:space="preserve"> HYPERLINK \l _Toc7761 </w:instrText>
      </w:r>
      <w:r>
        <w:rPr>
          <w:bCs/>
          <w:lang w:val="zh-CN"/>
        </w:rPr>
        <w:fldChar w:fldCharType="separate"/>
      </w:r>
      <w:r>
        <w:rPr>
          <w:rFonts w:ascii="Times New Roman" w:hAnsi="Times New Roman"/>
          <w:lang w:val="en-US"/>
        </w:rPr>
        <w:t>4金融机构环境相关政策制度</w:t>
      </w:r>
      <w:r>
        <w:tab/>
      </w:r>
      <w:r>
        <w:fldChar w:fldCharType="begin"/>
      </w:r>
      <w:r>
        <w:instrText xml:space="preserve"> PAGEREF _Toc7761 \h </w:instrText>
      </w:r>
      <w:r>
        <w:fldChar w:fldCharType="separate"/>
      </w:r>
      <w:r>
        <w:t>11</w:t>
      </w:r>
      <w:r>
        <w:fldChar w:fldCharType="end"/>
      </w:r>
      <w:r>
        <w:rPr>
          <w:bCs/>
          <w:lang w:val="zh-CN"/>
        </w:rPr>
        <w:fldChar w:fldCharType="end"/>
      </w:r>
    </w:p>
    <w:p w14:paraId="7DD9A89E">
      <w:pPr>
        <w:pStyle w:val="14"/>
        <w:tabs>
          <w:tab w:val="right" w:leader="dot" w:pos="8845"/>
          <w:tab w:val="clear" w:pos="8296"/>
        </w:tabs>
      </w:pPr>
      <w:r>
        <w:rPr>
          <w:bCs/>
          <w:lang w:val="zh-CN"/>
        </w:rPr>
        <w:fldChar w:fldCharType="begin"/>
      </w:r>
      <w:r>
        <w:rPr>
          <w:bCs/>
          <w:lang w:val="zh-CN"/>
        </w:rPr>
        <w:instrText xml:space="preserve"> HYPERLINK \l _Toc10228 </w:instrText>
      </w:r>
      <w:r>
        <w:rPr>
          <w:bCs/>
          <w:lang w:val="zh-CN"/>
        </w:rPr>
        <w:fldChar w:fldCharType="separate"/>
      </w:r>
      <w:r>
        <w:rPr>
          <w:rFonts w:ascii="Times New Roman" w:hAnsi="Times New Roman"/>
        </w:rPr>
        <w:t>4.1环境政策可能对金融机构产生的影响</w:t>
      </w:r>
      <w:r>
        <w:tab/>
      </w:r>
      <w:r>
        <w:fldChar w:fldCharType="begin"/>
      </w:r>
      <w:r>
        <w:instrText xml:space="preserve"> PAGEREF _Toc10228 \h </w:instrText>
      </w:r>
      <w:r>
        <w:fldChar w:fldCharType="separate"/>
      </w:r>
      <w:r>
        <w:t>11</w:t>
      </w:r>
      <w:r>
        <w:fldChar w:fldCharType="end"/>
      </w:r>
      <w:r>
        <w:rPr>
          <w:bCs/>
          <w:lang w:val="zh-CN"/>
        </w:rPr>
        <w:fldChar w:fldCharType="end"/>
      </w:r>
    </w:p>
    <w:p w14:paraId="06D5BA93">
      <w:pPr>
        <w:pStyle w:val="14"/>
        <w:tabs>
          <w:tab w:val="right" w:leader="dot" w:pos="8845"/>
          <w:tab w:val="clear" w:pos="8296"/>
        </w:tabs>
      </w:pPr>
      <w:r>
        <w:rPr>
          <w:bCs/>
          <w:lang w:val="zh-CN"/>
        </w:rPr>
        <w:fldChar w:fldCharType="begin"/>
      </w:r>
      <w:r>
        <w:rPr>
          <w:bCs/>
          <w:lang w:val="zh-CN"/>
        </w:rPr>
        <w:instrText xml:space="preserve"> HYPERLINK \l _Toc7189 </w:instrText>
      </w:r>
      <w:r>
        <w:rPr>
          <w:bCs/>
          <w:lang w:val="zh-CN"/>
        </w:rPr>
        <w:fldChar w:fldCharType="separate"/>
      </w:r>
      <w:r>
        <w:rPr>
          <w:rFonts w:ascii="Times New Roman" w:hAnsi="Times New Roman"/>
          <w:lang w:eastAsia="zh-CN"/>
        </w:rPr>
        <w:t>4.2</w:t>
      </w:r>
      <w:r>
        <w:rPr>
          <w:rFonts w:ascii="Times New Roman" w:hAnsi="Times New Roman"/>
        </w:rPr>
        <w:t>本机构与环境相关的现行政策</w:t>
      </w:r>
      <w:r>
        <w:tab/>
      </w:r>
      <w:r>
        <w:fldChar w:fldCharType="begin"/>
      </w:r>
      <w:r>
        <w:instrText xml:space="preserve"> PAGEREF _Toc7189 \h </w:instrText>
      </w:r>
      <w:r>
        <w:fldChar w:fldCharType="separate"/>
      </w:r>
      <w:r>
        <w:t>13</w:t>
      </w:r>
      <w:r>
        <w:fldChar w:fldCharType="end"/>
      </w:r>
      <w:r>
        <w:rPr>
          <w:bCs/>
          <w:lang w:val="zh-CN"/>
        </w:rPr>
        <w:fldChar w:fldCharType="end"/>
      </w:r>
    </w:p>
    <w:p w14:paraId="5426E623">
      <w:pPr>
        <w:pStyle w:val="12"/>
        <w:tabs>
          <w:tab w:val="right" w:leader="dot" w:pos="8845"/>
          <w:tab w:val="clear" w:pos="8296"/>
        </w:tabs>
      </w:pPr>
      <w:r>
        <w:rPr>
          <w:bCs/>
          <w:lang w:val="zh-CN"/>
        </w:rPr>
        <w:fldChar w:fldCharType="begin"/>
      </w:r>
      <w:r>
        <w:rPr>
          <w:bCs/>
          <w:lang w:val="zh-CN"/>
        </w:rPr>
        <w:instrText xml:space="preserve"> HYPERLINK \l _Toc69 </w:instrText>
      </w:r>
      <w:r>
        <w:rPr>
          <w:bCs/>
          <w:lang w:val="zh-CN"/>
        </w:rPr>
        <w:fldChar w:fldCharType="separate"/>
      </w:r>
      <w:r>
        <w:rPr>
          <w:rFonts w:ascii="Times New Roman" w:hAnsi="Times New Roman"/>
          <w:lang w:val="en-US"/>
        </w:rPr>
        <w:t>5金融机构环境风险、机遇的分析与管理</w:t>
      </w:r>
      <w:r>
        <w:tab/>
      </w:r>
      <w:r>
        <w:fldChar w:fldCharType="begin"/>
      </w:r>
      <w:r>
        <w:instrText xml:space="preserve"> PAGEREF _Toc69 \h </w:instrText>
      </w:r>
      <w:r>
        <w:fldChar w:fldCharType="separate"/>
      </w:r>
      <w:r>
        <w:t>18</w:t>
      </w:r>
      <w:r>
        <w:fldChar w:fldCharType="end"/>
      </w:r>
      <w:r>
        <w:rPr>
          <w:bCs/>
          <w:lang w:val="zh-CN"/>
        </w:rPr>
        <w:fldChar w:fldCharType="end"/>
      </w:r>
    </w:p>
    <w:p w14:paraId="00AA7BCF">
      <w:pPr>
        <w:pStyle w:val="14"/>
        <w:tabs>
          <w:tab w:val="right" w:leader="dot" w:pos="8845"/>
          <w:tab w:val="clear" w:pos="8296"/>
        </w:tabs>
      </w:pPr>
      <w:r>
        <w:rPr>
          <w:bCs/>
          <w:lang w:val="zh-CN"/>
        </w:rPr>
        <w:fldChar w:fldCharType="begin"/>
      </w:r>
      <w:r>
        <w:rPr>
          <w:bCs/>
          <w:lang w:val="zh-CN"/>
        </w:rPr>
        <w:instrText xml:space="preserve"> HYPERLINK \l _Toc30442 </w:instrText>
      </w:r>
      <w:r>
        <w:rPr>
          <w:bCs/>
          <w:lang w:val="zh-CN"/>
        </w:rPr>
        <w:fldChar w:fldCharType="separate"/>
      </w:r>
      <w:r>
        <w:rPr>
          <w:rFonts w:ascii="Times New Roman" w:hAnsi="Times New Roman"/>
          <w:lang w:eastAsia="zh-CN"/>
        </w:rPr>
        <w:t>5.1</w:t>
      </w:r>
      <w:r>
        <w:rPr>
          <w:rFonts w:ascii="Times New Roman" w:hAnsi="Times New Roman"/>
        </w:rPr>
        <w:t>金融机构</w:t>
      </w:r>
      <w:r>
        <w:rPr>
          <w:rFonts w:ascii="Times New Roman" w:hAnsi="Times New Roman"/>
          <w:lang w:eastAsia="zh-CN"/>
        </w:rPr>
        <w:t>环境风险影响</w:t>
      </w:r>
      <w:r>
        <w:tab/>
      </w:r>
      <w:r>
        <w:fldChar w:fldCharType="begin"/>
      </w:r>
      <w:r>
        <w:instrText xml:space="preserve"> PAGEREF _Toc30442 \h </w:instrText>
      </w:r>
      <w:r>
        <w:fldChar w:fldCharType="separate"/>
      </w:r>
      <w:r>
        <w:t>18</w:t>
      </w:r>
      <w:r>
        <w:fldChar w:fldCharType="end"/>
      </w:r>
      <w:r>
        <w:rPr>
          <w:bCs/>
          <w:lang w:val="zh-CN"/>
        </w:rPr>
        <w:fldChar w:fldCharType="end"/>
      </w:r>
    </w:p>
    <w:p w14:paraId="745970EC">
      <w:pPr>
        <w:pStyle w:val="14"/>
        <w:tabs>
          <w:tab w:val="right" w:leader="dot" w:pos="8845"/>
          <w:tab w:val="clear" w:pos="8296"/>
        </w:tabs>
      </w:pPr>
      <w:r>
        <w:rPr>
          <w:bCs/>
          <w:lang w:val="zh-CN"/>
        </w:rPr>
        <w:fldChar w:fldCharType="begin"/>
      </w:r>
      <w:r>
        <w:rPr>
          <w:bCs/>
          <w:lang w:val="zh-CN"/>
        </w:rPr>
        <w:instrText xml:space="preserve"> HYPERLINK \l _Toc14995 </w:instrText>
      </w:r>
      <w:r>
        <w:rPr>
          <w:bCs/>
          <w:lang w:val="zh-CN"/>
        </w:rPr>
        <w:fldChar w:fldCharType="separate"/>
      </w:r>
      <w:r>
        <w:rPr>
          <w:rFonts w:ascii="Times New Roman" w:hAnsi="Times New Roman"/>
        </w:rPr>
        <w:t>5.</w:t>
      </w:r>
      <w:r>
        <w:rPr>
          <w:rFonts w:ascii="Times New Roman" w:hAnsi="Times New Roman"/>
          <w:lang w:eastAsia="zh-CN"/>
        </w:rPr>
        <w:t>2</w:t>
      </w:r>
      <w:r>
        <w:rPr>
          <w:rFonts w:ascii="Times New Roman" w:hAnsi="Times New Roman"/>
        </w:rPr>
        <w:t xml:space="preserve"> 环境风险管理及流程</w:t>
      </w:r>
      <w:r>
        <w:tab/>
      </w:r>
      <w:r>
        <w:fldChar w:fldCharType="begin"/>
      </w:r>
      <w:r>
        <w:instrText xml:space="preserve"> PAGEREF _Toc14995 \h </w:instrText>
      </w:r>
      <w:r>
        <w:fldChar w:fldCharType="separate"/>
      </w:r>
      <w:r>
        <w:t>19</w:t>
      </w:r>
      <w:r>
        <w:fldChar w:fldCharType="end"/>
      </w:r>
      <w:r>
        <w:rPr>
          <w:bCs/>
          <w:lang w:val="zh-CN"/>
        </w:rPr>
        <w:fldChar w:fldCharType="end"/>
      </w:r>
    </w:p>
    <w:p w14:paraId="091AE368">
      <w:pPr>
        <w:pStyle w:val="8"/>
        <w:tabs>
          <w:tab w:val="right" w:leader="dot" w:pos="8845"/>
        </w:tabs>
      </w:pPr>
      <w:r>
        <w:rPr>
          <w:bCs/>
          <w:lang w:val="zh-CN"/>
        </w:rPr>
        <w:fldChar w:fldCharType="begin"/>
      </w:r>
      <w:r>
        <w:rPr>
          <w:bCs/>
          <w:lang w:val="zh-CN"/>
        </w:rPr>
        <w:instrText xml:space="preserve"> HYPERLINK \l _Toc1342 </w:instrText>
      </w:r>
      <w:r>
        <w:rPr>
          <w:bCs/>
          <w:lang w:val="zh-CN"/>
        </w:rPr>
        <w:fldChar w:fldCharType="separate"/>
      </w:r>
      <w:r>
        <w:rPr>
          <w:rFonts w:ascii="Times New Roman" w:hAnsi="Times New Roman"/>
          <w:lang w:eastAsia="zh-CN"/>
        </w:rPr>
        <w:t>5.2.1</w:t>
      </w:r>
      <w:r>
        <w:rPr>
          <w:rFonts w:hint="eastAsia" w:ascii="仿宋_GB2312" w:hAnsi="Times New Roman" w:eastAsia="仿宋_GB2312"/>
          <w:lang w:eastAsia="zh-CN"/>
        </w:rPr>
        <w:t>调查准入环节</w:t>
      </w:r>
      <w:r>
        <w:tab/>
      </w:r>
      <w:r>
        <w:fldChar w:fldCharType="begin"/>
      </w:r>
      <w:r>
        <w:instrText xml:space="preserve"> PAGEREF _Toc1342 \h </w:instrText>
      </w:r>
      <w:r>
        <w:fldChar w:fldCharType="separate"/>
      </w:r>
      <w:r>
        <w:t>19</w:t>
      </w:r>
      <w:r>
        <w:fldChar w:fldCharType="end"/>
      </w:r>
      <w:r>
        <w:rPr>
          <w:bCs/>
          <w:lang w:val="zh-CN"/>
        </w:rPr>
        <w:fldChar w:fldCharType="end"/>
      </w:r>
    </w:p>
    <w:p w14:paraId="0B75073E">
      <w:pPr>
        <w:pStyle w:val="8"/>
        <w:tabs>
          <w:tab w:val="right" w:leader="dot" w:pos="8845"/>
        </w:tabs>
      </w:pPr>
      <w:r>
        <w:rPr>
          <w:bCs/>
          <w:lang w:val="zh-CN"/>
        </w:rPr>
        <w:fldChar w:fldCharType="begin"/>
      </w:r>
      <w:r>
        <w:rPr>
          <w:bCs/>
          <w:lang w:val="zh-CN"/>
        </w:rPr>
        <w:instrText xml:space="preserve"> HYPERLINK \l _Toc32506 </w:instrText>
      </w:r>
      <w:r>
        <w:rPr>
          <w:bCs/>
          <w:lang w:val="zh-CN"/>
        </w:rPr>
        <w:fldChar w:fldCharType="separate"/>
      </w:r>
      <w:r>
        <w:rPr>
          <w:rFonts w:ascii="Times New Roman" w:hAnsi="Times New Roman"/>
          <w:lang w:eastAsia="zh-CN"/>
        </w:rPr>
        <w:t>5.2.2</w:t>
      </w:r>
      <w:r>
        <w:rPr>
          <w:rFonts w:hint="eastAsia" w:ascii="仿宋_GB2312" w:hAnsi="Times New Roman" w:eastAsia="仿宋_GB2312"/>
          <w:lang w:eastAsia="zh-CN"/>
        </w:rPr>
        <w:t>审查审批环节</w:t>
      </w:r>
      <w:r>
        <w:tab/>
      </w:r>
      <w:r>
        <w:fldChar w:fldCharType="begin"/>
      </w:r>
      <w:r>
        <w:instrText xml:space="preserve"> PAGEREF _Toc32506 \h </w:instrText>
      </w:r>
      <w:r>
        <w:fldChar w:fldCharType="separate"/>
      </w:r>
      <w:r>
        <w:t>20</w:t>
      </w:r>
      <w:r>
        <w:fldChar w:fldCharType="end"/>
      </w:r>
      <w:r>
        <w:rPr>
          <w:bCs/>
          <w:lang w:val="zh-CN"/>
        </w:rPr>
        <w:fldChar w:fldCharType="end"/>
      </w:r>
    </w:p>
    <w:p w14:paraId="2D664647">
      <w:pPr>
        <w:pStyle w:val="8"/>
        <w:tabs>
          <w:tab w:val="right" w:leader="dot" w:pos="8845"/>
        </w:tabs>
      </w:pPr>
      <w:r>
        <w:rPr>
          <w:bCs/>
          <w:lang w:val="zh-CN"/>
        </w:rPr>
        <w:fldChar w:fldCharType="begin"/>
      </w:r>
      <w:r>
        <w:rPr>
          <w:bCs/>
          <w:lang w:val="zh-CN"/>
        </w:rPr>
        <w:instrText xml:space="preserve"> HYPERLINK \l _Toc29828 </w:instrText>
      </w:r>
      <w:r>
        <w:rPr>
          <w:bCs/>
          <w:lang w:val="zh-CN"/>
        </w:rPr>
        <w:fldChar w:fldCharType="separate"/>
      </w:r>
      <w:r>
        <w:rPr>
          <w:rFonts w:ascii="Times New Roman" w:hAnsi="Times New Roman"/>
          <w:lang w:eastAsia="zh-CN"/>
        </w:rPr>
        <w:t>5.2.3</w:t>
      </w:r>
      <w:r>
        <w:rPr>
          <w:rFonts w:hint="eastAsia" w:ascii="仿宋_GB2312" w:hAnsi="Times New Roman" w:eastAsia="仿宋_GB2312"/>
          <w:lang w:eastAsia="zh-CN"/>
        </w:rPr>
        <w:t>合同签署环节</w:t>
      </w:r>
      <w:r>
        <w:tab/>
      </w:r>
      <w:r>
        <w:fldChar w:fldCharType="begin"/>
      </w:r>
      <w:r>
        <w:instrText xml:space="preserve"> PAGEREF _Toc29828 \h </w:instrText>
      </w:r>
      <w:r>
        <w:fldChar w:fldCharType="separate"/>
      </w:r>
      <w:r>
        <w:t>20</w:t>
      </w:r>
      <w:r>
        <w:fldChar w:fldCharType="end"/>
      </w:r>
      <w:r>
        <w:rPr>
          <w:bCs/>
          <w:lang w:val="zh-CN"/>
        </w:rPr>
        <w:fldChar w:fldCharType="end"/>
      </w:r>
    </w:p>
    <w:p w14:paraId="09DCC6EA">
      <w:pPr>
        <w:pStyle w:val="8"/>
        <w:tabs>
          <w:tab w:val="right" w:leader="dot" w:pos="8845"/>
        </w:tabs>
      </w:pPr>
      <w:r>
        <w:rPr>
          <w:bCs/>
          <w:lang w:val="zh-CN"/>
        </w:rPr>
        <w:fldChar w:fldCharType="begin"/>
      </w:r>
      <w:r>
        <w:rPr>
          <w:bCs/>
          <w:lang w:val="zh-CN"/>
        </w:rPr>
        <w:instrText xml:space="preserve"> HYPERLINK \l _Toc23515 </w:instrText>
      </w:r>
      <w:r>
        <w:rPr>
          <w:bCs/>
          <w:lang w:val="zh-CN"/>
        </w:rPr>
        <w:fldChar w:fldCharType="separate"/>
      </w:r>
      <w:r>
        <w:rPr>
          <w:rFonts w:ascii="Times New Roman" w:hAnsi="Times New Roman"/>
          <w:lang w:eastAsia="zh-CN"/>
        </w:rPr>
        <w:t>5.2.4</w:t>
      </w:r>
      <w:r>
        <w:rPr>
          <w:rFonts w:hint="eastAsia" w:ascii="仿宋_GB2312" w:hAnsi="Times New Roman" w:eastAsia="仿宋_GB2312"/>
          <w:lang w:eastAsia="zh-CN"/>
        </w:rPr>
        <w:t>贷后管理环节</w:t>
      </w:r>
      <w:r>
        <w:tab/>
      </w:r>
      <w:r>
        <w:fldChar w:fldCharType="begin"/>
      </w:r>
      <w:r>
        <w:instrText xml:space="preserve"> PAGEREF _Toc23515 \h </w:instrText>
      </w:r>
      <w:r>
        <w:fldChar w:fldCharType="separate"/>
      </w:r>
      <w:r>
        <w:t>20</w:t>
      </w:r>
      <w:r>
        <w:fldChar w:fldCharType="end"/>
      </w:r>
      <w:r>
        <w:rPr>
          <w:bCs/>
          <w:lang w:val="zh-CN"/>
        </w:rPr>
        <w:fldChar w:fldCharType="end"/>
      </w:r>
    </w:p>
    <w:p w14:paraId="1067D199">
      <w:pPr>
        <w:pStyle w:val="12"/>
        <w:tabs>
          <w:tab w:val="right" w:leader="dot" w:pos="8845"/>
          <w:tab w:val="clear" w:pos="8296"/>
        </w:tabs>
      </w:pPr>
      <w:r>
        <w:rPr>
          <w:bCs/>
          <w:lang w:val="zh-CN"/>
        </w:rPr>
        <w:fldChar w:fldCharType="begin"/>
      </w:r>
      <w:r>
        <w:rPr>
          <w:bCs/>
          <w:lang w:val="zh-CN"/>
        </w:rPr>
        <w:instrText xml:space="preserve"> HYPERLINK \l _Toc15717 </w:instrText>
      </w:r>
      <w:r>
        <w:rPr>
          <w:bCs/>
          <w:lang w:val="zh-CN"/>
        </w:rPr>
        <w:fldChar w:fldCharType="separate"/>
      </w:r>
      <w:r>
        <w:rPr>
          <w:rFonts w:ascii="Times New Roman" w:hAnsi="Times New Roman"/>
          <w:lang w:val="en-US"/>
        </w:rPr>
        <w:t>6本机构经营活动对环境产生的影响</w:t>
      </w:r>
      <w:r>
        <w:tab/>
      </w:r>
      <w:r>
        <w:fldChar w:fldCharType="begin"/>
      </w:r>
      <w:r>
        <w:instrText xml:space="preserve"> PAGEREF _Toc15717 \h </w:instrText>
      </w:r>
      <w:r>
        <w:fldChar w:fldCharType="separate"/>
      </w:r>
      <w:r>
        <w:t>20</w:t>
      </w:r>
      <w:r>
        <w:fldChar w:fldCharType="end"/>
      </w:r>
      <w:r>
        <w:rPr>
          <w:bCs/>
          <w:lang w:val="zh-CN"/>
        </w:rPr>
        <w:fldChar w:fldCharType="end"/>
      </w:r>
    </w:p>
    <w:p w14:paraId="1586C618">
      <w:pPr>
        <w:pStyle w:val="14"/>
        <w:tabs>
          <w:tab w:val="right" w:leader="dot" w:pos="8845"/>
          <w:tab w:val="clear" w:pos="8296"/>
        </w:tabs>
      </w:pPr>
      <w:r>
        <w:rPr>
          <w:bCs/>
          <w:lang w:val="zh-CN"/>
        </w:rPr>
        <w:fldChar w:fldCharType="begin"/>
      </w:r>
      <w:r>
        <w:rPr>
          <w:bCs/>
          <w:lang w:val="zh-CN"/>
        </w:rPr>
        <w:instrText xml:space="preserve"> HYPERLINK \l _Toc17348 </w:instrText>
      </w:r>
      <w:r>
        <w:rPr>
          <w:bCs/>
          <w:lang w:val="zh-CN"/>
        </w:rPr>
        <w:fldChar w:fldCharType="separate"/>
      </w:r>
      <w:r>
        <w:rPr>
          <w:rFonts w:ascii="Times New Roman" w:hAnsi="Times New Roman" w:eastAsia="仿宋_GB2312"/>
        </w:rPr>
        <w:t>6.</w:t>
      </w:r>
      <w:r>
        <w:rPr>
          <w:rFonts w:ascii="Times New Roman" w:hAnsi="Times New Roman"/>
        </w:rPr>
        <w:t>1本机构</w:t>
      </w:r>
      <w:r>
        <w:rPr>
          <w:rFonts w:hint="eastAsia" w:ascii="Times New Roman" w:hAnsi="Times New Roman"/>
          <w:lang w:val="en-US" w:eastAsia="zh-CN"/>
        </w:rPr>
        <w:t>2023</w:t>
      </w:r>
      <w:r>
        <w:rPr>
          <w:rFonts w:ascii="Times New Roman" w:hAnsi="Times New Roman"/>
          <w:lang w:eastAsia="zh-CN"/>
        </w:rPr>
        <w:t>年经营活动</w:t>
      </w:r>
      <w:r>
        <w:rPr>
          <w:rFonts w:ascii="Times New Roman" w:hAnsi="Times New Roman"/>
        </w:rPr>
        <w:t>产生的</w:t>
      </w:r>
      <w:r>
        <w:rPr>
          <w:rFonts w:ascii="Times New Roman" w:hAnsi="Times New Roman"/>
          <w:lang w:eastAsia="zh-CN"/>
        </w:rPr>
        <w:t>碳排放</w:t>
      </w:r>
      <w:r>
        <w:tab/>
      </w:r>
      <w:r>
        <w:fldChar w:fldCharType="begin"/>
      </w:r>
      <w:r>
        <w:instrText xml:space="preserve"> PAGEREF _Toc17348 \h </w:instrText>
      </w:r>
      <w:r>
        <w:fldChar w:fldCharType="separate"/>
      </w:r>
      <w:r>
        <w:t>20</w:t>
      </w:r>
      <w:r>
        <w:fldChar w:fldCharType="end"/>
      </w:r>
      <w:r>
        <w:rPr>
          <w:bCs/>
          <w:lang w:val="zh-CN"/>
        </w:rPr>
        <w:fldChar w:fldCharType="end"/>
      </w:r>
    </w:p>
    <w:p w14:paraId="3B8D780D">
      <w:pPr>
        <w:pStyle w:val="8"/>
        <w:tabs>
          <w:tab w:val="right" w:leader="dot" w:pos="8845"/>
        </w:tabs>
      </w:pPr>
      <w:r>
        <w:rPr>
          <w:bCs/>
          <w:lang w:val="zh-CN"/>
        </w:rPr>
        <w:fldChar w:fldCharType="begin"/>
      </w:r>
      <w:r>
        <w:rPr>
          <w:bCs/>
          <w:lang w:val="zh-CN"/>
        </w:rPr>
        <w:instrText xml:space="preserve"> HYPERLINK \l _Toc6813 </w:instrText>
      </w:r>
      <w:r>
        <w:rPr>
          <w:bCs/>
          <w:lang w:val="zh-CN"/>
        </w:rPr>
        <w:fldChar w:fldCharType="separate"/>
      </w:r>
      <w:r>
        <w:rPr>
          <w:rFonts w:ascii="Times New Roman" w:hAnsi="Times New Roman"/>
          <w:lang w:eastAsia="zh-CN"/>
        </w:rPr>
        <w:t>6.1.1</w:t>
      </w:r>
      <w:r>
        <w:rPr>
          <w:rFonts w:hint="eastAsia" w:ascii="仿宋_GB2312" w:hAnsi="Times New Roman" w:eastAsia="仿宋_GB2312"/>
          <w:lang w:eastAsia="zh-CN"/>
        </w:rPr>
        <w:t>核算边界及排放源识别</w:t>
      </w:r>
      <w:r>
        <w:tab/>
      </w:r>
      <w:r>
        <w:fldChar w:fldCharType="begin"/>
      </w:r>
      <w:r>
        <w:instrText xml:space="preserve"> PAGEREF _Toc6813 \h </w:instrText>
      </w:r>
      <w:r>
        <w:fldChar w:fldCharType="separate"/>
      </w:r>
      <w:r>
        <w:t>21</w:t>
      </w:r>
      <w:r>
        <w:fldChar w:fldCharType="end"/>
      </w:r>
      <w:r>
        <w:rPr>
          <w:bCs/>
          <w:lang w:val="zh-CN"/>
        </w:rPr>
        <w:fldChar w:fldCharType="end"/>
      </w:r>
    </w:p>
    <w:p w14:paraId="293AC286">
      <w:pPr>
        <w:pStyle w:val="8"/>
        <w:tabs>
          <w:tab w:val="right" w:leader="dot" w:pos="8845"/>
        </w:tabs>
      </w:pPr>
      <w:r>
        <w:rPr>
          <w:bCs/>
          <w:lang w:val="zh-CN"/>
        </w:rPr>
        <w:fldChar w:fldCharType="begin"/>
      </w:r>
      <w:r>
        <w:rPr>
          <w:bCs/>
          <w:lang w:val="zh-CN"/>
        </w:rPr>
        <w:instrText xml:space="preserve"> HYPERLINK \l _Toc22368 </w:instrText>
      </w:r>
      <w:r>
        <w:rPr>
          <w:bCs/>
          <w:lang w:val="zh-CN"/>
        </w:rPr>
        <w:fldChar w:fldCharType="separate"/>
      </w:r>
      <w:r>
        <w:rPr>
          <w:lang w:eastAsia="zh-CN"/>
        </w:rPr>
        <w:t>6.1.2</w:t>
      </w:r>
      <w:r>
        <w:rPr>
          <w:rFonts w:hint="eastAsia" w:ascii="仿宋_GB2312" w:eastAsia="仿宋_GB2312"/>
          <w:lang w:eastAsia="zh-CN"/>
        </w:rPr>
        <w:t>温室气体排放总量及构成</w:t>
      </w:r>
      <w:r>
        <w:tab/>
      </w:r>
      <w:r>
        <w:fldChar w:fldCharType="begin"/>
      </w:r>
      <w:r>
        <w:instrText xml:space="preserve"> PAGEREF _Toc22368 \h </w:instrText>
      </w:r>
      <w:r>
        <w:fldChar w:fldCharType="separate"/>
      </w:r>
      <w:r>
        <w:t>21</w:t>
      </w:r>
      <w:r>
        <w:fldChar w:fldCharType="end"/>
      </w:r>
      <w:r>
        <w:rPr>
          <w:bCs/>
          <w:lang w:val="zh-CN"/>
        </w:rPr>
        <w:fldChar w:fldCharType="end"/>
      </w:r>
    </w:p>
    <w:p w14:paraId="66A45A9D">
      <w:pPr>
        <w:pStyle w:val="14"/>
        <w:tabs>
          <w:tab w:val="right" w:leader="dot" w:pos="8845"/>
          <w:tab w:val="clear" w:pos="8296"/>
        </w:tabs>
      </w:pPr>
      <w:r>
        <w:rPr>
          <w:bCs/>
          <w:lang w:val="zh-CN"/>
        </w:rPr>
        <w:fldChar w:fldCharType="begin"/>
      </w:r>
      <w:r>
        <w:rPr>
          <w:bCs/>
          <w:lang w:val="zh-CN"/>
        </w:rPr>
        <w:instrText xml:space="preserve"> HYPERLINK \l _Toc8093 </w:instrText>
      </w:r>
      <w:r>
        <w:rPr>
          <w:bCs/>
          <w:lang w:val="zh-CN"/>
        </w:rPr>
        <w:fldChar w:fldCharType="separate"/>
      </w:r>
      <w:r>
        <w:rPr>
          <w:rFonts w:ascii="Times New Roman" w:hAnsi="Times New Roman" w:eastAsia="仿宋_GB2312"/>
        </w:rPr>
        <w:t>6.</w:t>
      </w:r>
      <w:r>
        <w:rPr>
          <w:rFonts w:ascii="Times New Roman" w:hAnsi="Times New Roman"/>
          <w:lang w:eastAsia="zh-CN"/>
        </w:rPr>
        <w:t>2</w:t>
      </w:r>
      <w:r>
        <w:rPr>
          <w:rFonts w:hint="eastAsia" w:ascii="Times New Roman" w:hAnsi="Times New Roman"/>
        </w:rPr>
        <w:t>本机构</w:t>
      </w:r>
      <w:r>
        <w:rPr>
          <w:rFonts w:ascii="Times New Roman" w:hAnsi="Times New Roman"/>
          <w:lang w:val="en-US" w:eastAsia="zh-CN"/>
        </w:rPr>
        <w:t>202</w:t>
      </w:r>
      <w:r>
        <w:rPr>
          <w:rFonts w:hint="eastAsia" w:ascii="Times New Roman" w:hAnsi="Times New Roman"/>
          <w:lang w:val="en-US" w:eastAsia="zh-CN"/>
        </w:rPr>
        <w:t>4</w:t>
      </w:r>
      <w:r>
        <w:rPr>
          <w:rFonts w:hint="eastAsia" w:ascii="Times New Roman" w:hAnsi="Times New Roman"/>
          <w:lang w:eastAsia="zh-CN"/>
        </w:rPr>
        <w:t>年经营活动对环境产生的</w:t>
      </w:r>
      <w:r>
        <w:rPr>
          <w:rFonts w:hint="eastAsia" w:ascii="Times New Roman" w:hAnsi="Times New Roman"/>
        </w:rPr>
        <w:t>影响</w:t>
      </w:r>
      <w:r>
        <w:tab/>
      </w:r>
      <w:r>
        <w:fldChar w:fldCharType="begin"/>
      </w:r>
      <w:r>
        <w:instrText xml:space="preserve"> PAGEREF _Toc8093 \h </w:instrText>
      </w:r>
      <w:r>
        <w:fldChar w:fldCharType="separate"/>
      </w:r>
      <w:r>
        <w:t>23</w:t>
      </w:r>
      <w:r>
        <w:fldChar w:fldCharType="end"/>
      </w:r>
      <w:r>
        <w:rPr>
          <w:bCs/>
          <w:lang w:val="zh-CN"/>
        </w:rPr>
        <w:fldChar w:fldCharType="end"/>
      </w:r>
    </w:p>
    <w:p w14:paraId="7F000E0D">
      <w:pPr>
        <w:pStyle w:val="12"/>
        <w:tabs>
          <w:tab w:val="right" w:leader="dot" w:pos="8845"/>
          <w:tab w:val="clear" w:pos="8296"/>
        </w:tabs>
      </w:pPr>
      <w:r>
        <w:rPr>
          <w:bCs/>
          <w:lang w:val="zh-CN"/>
        </w:rPr>
        <w:fldChar w:fldCharType="begin"/>
      </w:r>
      <w:r>
        <w:rPr>
          <w:bCs/>
          <w:lang w:val="zh-CN"/>
        </w:rPr>
        <w:instrText xml:space="preserve"> HYPERLINK \l _Toc17412 </w:instrText>
      </w:r>
      <w:r>
        <w:rPr>
          <w:bCs/>
          <w:lang w:val="zh-CN"/>
        </w:rPr>
        <w:fldChar w:fldCharType="separate"/>
      </w:r>
      <w:r>
        <w:rPr>
          <w:rFonts w:ascii="Times New Roman" w:hAnsi="Times New Roman"/>
          <w:lang w:val="en-US"/>
        </w:rPr>
        <w:t>7本机构投融资对环境产生的影响</w:t>
      </w:r>
      <w:r>
        <w:tab/>
      </w:r>
      <w:r>
        <w:fldChar w:fldCharType="begin"/>
      </w:r>
      <w:r>
        <w:instrText xml:space="preserve"> PAGEREF _Toc17412 \h </w:instrText>
      </w:r>
      <w:r>
        <w:fldChar w:fldCharType="separate"/>
      </w:r>
      <w:r>
        <w:t>24</w:t>
      </w:r>
      <w:r>
        <w:fldChar w:fldCharType="end"/>
      </w:r>
      <w:r>
        <w:rPr>
          <w:bCs/>
          <w:lang w:val="zh-CN"/>
        </w:rPr>
        <w:fldChar w:fldCharType="end"/>
      </w:r>
    </w:p>
    <w:p w14:paraId="11A83AED">
      <w:pPr>
        <w:pStyle w:val="14"/>
        <w:tabs>
          <w:tab w:val="right" w:leader="dot" w:pos="8845"/>
          <w:tab w:val="clear" w:pos="8296"/>
        </w:tabs>
      </w:pPr>
      <w:r>
        <w:rPr>
          <w:bCs/>
          <w:lang w:val="zh-CN"/>
        </w:rPr>
        <w:fldChar w:fldCharType="begin"/>
      </w:r>
      <w:r>
        <w:rPr>
          <w:bCs/>
          <w:lang w:val="zh-CN"/>
        </w:rPr>
        <w:instrText xml:space="preserve"> HYPERLINK \l _Toc13674 </w:instrText>
      </w:r>
      <w:r>
        <w:rPr>
          <w:bCs/>
          <w:lang w:val="zh-CN"/>
        </w:rPr>
        <w:fldChar w:fldCharType="separate"/>
      </w:r>
      <w:r>
        <w:rPr>
          <w:rFonts w:ascii="Times New Roman" w:hAnsi="Times New Roman"/>
        </w:rPr>
        <w:t>7.1本机构投融资所产生的环境影响</w:t>
      </w:r>
      <w:r>
        <w:tab/>
      </w:r>
      <w:r>
        <w:fldChar w:fldCharType="begin"/>
      </w:r>
      <w:r>
        <w:instrText xml:space="preserve"> PAGEREF _Toc13674 \h </w:instrText>
      </w:r>
      <w:r>
        <w:fldChar w:fldCharType="separate"/>
      </w:r>
      <w:r>
        <w:t>24</w:t>
      </w:r>
      <w:r>
        <w:fldChar w:fldCharType="end"/>
      </w:r>
      <w:r>
        <w:rPr>
          <w:bCs/>
          <w:lang w:val="zh-CN"/>
        </w:rPr>
        <w:fldChar w:fldCharType="end"/>
      </w:r>
    </w:p>
    <w:p w14:paraId="7E8D730E">
      <w:pPr>
        <w:pStyle w:val="14"/>
        <w:tabs>
          <w:tab w:val="right" w:leader="dot" w:pos="8845"/>
          <w:tab w:val="clear" w:pos="8296"/>
        </w:tabs>
      </w:pPr>
      <w:r>
        <w:rPr>
          <w:bCs/>
          <w:lang w:val="zh-CN"/>
        </w:rPr>
        <w:fldChar w:fldCharType="begin"/>
      </w:r>
      <w:r>
        <w:rPr>
          <w:bCs/>
          <w:lang w:val="zh-CN"/>
        </w:rPr>
        <w:instrText xml:space="preserve"> HYPERLINK \l _Toc921 </w:instrText>
      </w:r>
      <w:r>
        <w:rPr>
          <w:bCs/>
          <w:lang w:val="zh-CN"/>
        </w:rPr>
        <w:fldChar w:fldCharType="separate"/>
      </w:r>
      <w:r>
        <w:rPr>
          <w:rFonts w:ascii="Times New Roman" w:hAnsi="Times New Roman"/>
        </w:rPr>
        <w:t>7.2本机构投融资环境影响的测算与表达</w:t>
      </w:r>
      <w:r>
        <w:tab/>
      </w:r>
      <w:r>
        <w:fldChar w:fldCharType="begin"/>
      </w:r>
      <w:r>
        <w:instrText xml:space="preserve"> PAGEREF _Toc921 \h </w:instrText>
      </w:r>
      <w:r>
        <w:fldChar w:fldCharType="separate"/>
      </w:r>
      <w:r>
        <w:t>24</w:t>
      </w:r>
      <w:r>
        <w:fldChar w:fldCharType="end"/>
      </w:r>
      <w:r>
        <w:rPr>
          <w:bCs/>
          <w:lang w:val="zh-CN"/>
        </w:rPr>
        <w:fldChar w:fldCharType="end"/>
      </w:r>
    </w:p>
    <w:p w14:paraId="6FDE1001">
      <w:pPr>
        <w:pStyle w:val="14"/>
        <w:tabs>
          <w:tab w:val="right" w:leader="dot" w:pos="8845"/>
          <w:tab w:val="clear" w:pos="8296"/>
        </w:tabs>
      </w:pPr>
      <w:r>
        <w:rPr>
          <w:bCs/>
          <w:lang w:val="zh-CN"/>
        </w:rPr>
        <w:fldChar w:fldCharType="begin"/>
      </w:r>
      <w:r>
        <w:rPr>
          <w:bCs/>
          <w:lang w:val="zh-CN"/>
        </w:rPr>
        <w:instrText xml:space="preserve"> HYPERLINK \l _Toc14165 </w:instrText>
      </w:r>
      <w:r>
        <w:rPr>
          <w:bCs/>
          <w:lang w:val="zh-CN"/>
        </w:rPr>
        <w:fldChar w:fldCharType="separate"/>
      </w:r>
      <w:r>
        <w:rPr>
          <w:rFonts w:ascii="Times New Roman" w:hAnsi="Times New Roman"/>
        </w:rPr>
        <w:t>7.3数据梳理、校验及保护</w:t>
      </w:r>
      <w:r>
        <w:tab/>
      </w:r>
      <w:r>
        <w:fldChar w:fldCharType="begin"/>
      </w:r>
      <w:r>
        <w:instrText xml:space="preserve"> PAGEREF _Toc14165 \h </w:instrText>
      </w:r>
      <w:r>
        <w:fldChar w:fldCharType="separate"/>
      </w:r>
      <w:r>
        <w:t>25</w:t>
      </w:r>
      <w:r>
        <w:fldChar w:fldCharType="end"/>
      </w:r>
      <w:r>
        <w:rPr>
          <w:bCs/>
          <w:lang w:val="zh-CN"/>
        </w:rPr>
        <w:fldChar w:fldCharType="end"/>
      </w:r>
    </w:p>
    <w:p w14:paraId="2DE273C1">
      <w:pPr>
        <w:pStyle w:val="8"/>
        <w:tabs>
          <w:tab w:val="right" w:leader="dot" w:pos="8845"/>
        </w:tabs>
      </w:pPr>
      <w:r>
        <w:rPr>
          <w:bCs/>
          <w:lang w:val="zh-CN"/>
        </w:rPr>
        <w:fldChar w:fldCharType="begin"/>
      </w:r>
      <w:r>
        <w:rPr>
          <w:bCs/>
          <w:lang w:val="zh-CN"/>
        </w:rPr>
        <w:instrText xml:space="preserve"> HYPERLINK \l _Toc28921 </w:instrText>
      </w:r>
      <w:r>
        <w:rPr>
          <w:bCs/>
          <w:lang w:val="zh-CN"/>
        </w:rPr>
        <w:fldChar w:fldCharType="separate"/>
      </w:r>
      <w:r>
        <w:rPr>
          <w:rFonts w:ascii="Times New Roman" w:hAnsi="Times New Roman"/>
          <w:lang w:eastAsia="zh-CN"/>
        </w:rPr>
        <w:t>7.3.1</w:t>
      </w:r>
      <w:r>
        <w:rPr>
          <w:rFonts w:hint="eastAsia" w:ascii="仿宋_GB2312" w:hAnsi="Times New Roman" w:eastAsia="仿宋_GB2312"/>
          <w:lang w:eastAsia="zh-CN"/>
        </w:rPr>
        <w:t>本机构绿色信贷统计数据质量开展情况</w:t>
      </w:r>
      <w:r>
        <w:tab/>
      </w:r>
      <w:r>
        <w:fldChar w:fldCharType="begin"/>
      </w:r>
      <w:r>
        <w:instrText xml:space="preserve"> PAGEREF _Toc28921 \h </w:instrText>
      </w:r>
      <w:r>
        <w:fldChar w:fldCharType="separate"/>
      </w:r>
      <w:r>
        <w:t>25</w:t>
      </w:r>
      <w:r>
        <w:fldChar w:fldCharType="end"/>
      </w:r>
      <w:r>
        <w:rPr>
          <w:bCs/>
          <w:lang w:val="zh-CN"/>
        </w:rPr>
        <w:fldChar w:fldCharType="end"/>
      </w:r>
    </w:p>
    <w:p w14:paraId="613BDB28">
      <w:pPr>
        <w:pStyle w:val="8"/>
        <w:tabs>
          <w:tab w:val="right" w:leader="dot" w:pos="8845"/>
        </w:tabs>
      </w:pPr>
      <w:r>
        <w:rPr>
          <w:bCs/>
          <w:lang w:val="zh-CN"/>
        </w:rPr>
        <w:fldChar w:fldCharType="begin"/>
      </w:r>
      <w:r>
        <w:rPr>
          <w:bCs/>
          <w:lang w:val="zh-CN"/>
        </w:rPr>
        <w:instrText xml:space="preserve"> HYPERLINK \l _Toc30327 </w:instrText>
      </w:r>
      <w:r>
        <w:rPr>
          <w:bCs/>
          <w:lang w:val="zh-CN"/>
        </w:rPr>
        <w:fldChar w:fldCharType="separate"/>
      </w:r>
      <w:r>
        <w:rPr>
          <w:rFonts w:ascii="Times New Roman" w:hAnsi="Times New Roman"/>
          <w:lang w:eastAsia="zh-CN"/>
        </w:rPr>
        <w:t>7.3.2</w:t>
      </w:r>
      <w:r>
        <w:rPr>
          <w:rFonts w:hint="eastAsia" w:ascii="仿宋_GB2312" w:hAnsi="Times New Roman" w:eastAsia="仿宋_GB2312"/>
          <w:lang w:eastAsia="zh-CN"/>
        </w:rPr>
        <w:t>本机构保证数据安全工作开展情况</w:t>
      </w:r>
      <w:r>
        <w:tab/>
      </w:r>
      <w:r>
        <w:fldChar w:fldCharType="begin"/>
      </w:r>
      <w:r>
        <w:instrText xml:space="preserve"> PAGEREF _Toc30327 \h </w:instrText>
      </w:r>
      <w:r>
        <w:fldChar w:fldCharType="separate"/>
      </w:r>
      <w:r>
        <w:t>25</w:t>
      </w:r>
      <w:r>
        <w:fldChar w:fldCharType="end"/>
      </w:r>
      <w:r>
        <w:rPr>
          <w:bCs/>
          <w:lang w:val="zh-CN"/>
        </w:rPr>
        <w:fldChar w:fldCharType="end"/>
      </w:r>
    </w:p>
    <w:p w14:paraId="3A7582EF">
      <w:pPr>
        <w:pStyle w:val="8"/>
        <w:tabs>
          <w:tab w:val="right" w:leader="dot" w:pos="8845"/>
        </w:tabs>
      </w:pPr>
      <w:r>
        <w:rPr>
          <w:bCs/>
          <w:lang w:val="zh-CN"/>
        </w:rPr>
        <w:fldChar w:fldCharType="begin"/>
      </w:r>
      <w:r>
        <w:rPr>
          <w:bCs/>
          <w:lang w:val="zh-CN"/>
        </w:rPr>
        <w:instrText xml:space="preserve"> HYPERLINK \l _Toc31726 </w:instrText>
      </w:r>
      <w:r>
        <w:rPr>
          <w:bCs/>
          <w:lang w:val="zh-CN"/>
        </w:rPr>
        <w:fldChar w:fldCharType="separate"/>
      </w:r>
      <w:r>
        <w:rPr>
          <w:rFonts w:ascii="Times New Roman" w:hAnsi="Times New Roman"/>
          <w:lang w:eastAsia="zh-CN"/>
        </w:rPr>
        <w:t>7.3.3</w:t>
      </w:r>
      <w:r>
        <w:rPr>
          <w:rFonts w:hint="eastAsia" w:ascii="仿宋_GB2312" w:hAnsi="Times New Roman" w:eastAsia="仿宋_GB2312"/>
          <w:lang w:eastAsia="zh-CN"/>
        </w:rPr>
        <w:t>本机构数据安全方面的应急预案</w:t>
      </w:r>
      <w:r>
        <w:tab/>
      </w:r>
      <w:r>
        <w:fldChar w:fldCharType="begin"/>
      </w:r>
      <w:r>
        <w:instrText xml:space="preserve"> PAGEREF _Toc31726 \h </w:instrText>
      </w:r>
      <w:r>
        <w:fldChar w:fldCharType="separate"/>
      </w:r>
      <w:r>
        <w:t>27</w:t>
      </w:r>
      <w:r>
        <w:fldChar w:fldCharType="end"/>
      </w:r>
      <w:r>
        <w:rPr>
          <w:bCs/>
          <w:lang w:val="zh-CN"/>
        </w:rPr>
        <w:fldChar w:fldCharType="end"/>
      </w:r>
    </w:p>
    <w:p w14:paraId="39CDF8E8">
      <w:pPr>
        <w:pStyle w:val="12"/>
        <w:tabs>
          <w:tab w:val="right" w:leader="dot" w:pos="8845"/>
          <w:tab w:val="clear" w:pos="8296"/>
        </w:tabs>
      </w:pPr>
      <w:r>
        <w:rPr>
          <w:bCs/>
          <w:lang w:val="zh-CN"/>
        </w:rPr>
        <w:fldChar w:fldCharType="begin"/>
      </w:r>
      <w:r>
        <w:rPr>
          <w:bCs/>
          <w:lang w:val="zh-CN"/>
        </w:rPr>
        <w:instrText xml:space="preserve"> HYPERLINK \l _Toc25119 </w:instrText>
      </w:r>
      <w:r>
        <w:rPr>
          <w:bCs/>
          <w:lang w:val="zh-CN"/>
        </w:rPr>
        <w:fldChar w:fldCharType="separate"/>
      </w:r>
      <w:r>
        <w:rPr>
          <w:rFonts w:ascii="Times New Roman" w:hAnsi="Times New Roman"/>
          <w:lang w:val="en-US"/>
        </w:rPr>
        <w:t>8绿色金融创新及研究成果</w:t>
      </w:r>
      <w:r>
        <w:tab/>
      </w:r>
      <w:r>
        <w:fldChar w:fldCharType="begin"/>
      </w:r>
      <w:r>
        <w:instrText xml:space="preserve"> PAGEREF _Toc25119 \h </w:instrText>
      </w:r>
      <w:r>
        <w:fldChar w:fldCharType="separate"/>
      </w:r>
      <w:r>
        <w:t>27</w:t>
      </w:r>
      <w:r>
        <w:fldChar w:fldCharType="end"/>
      </w:r>
      <w:r>
        <w:rPr>
          <w:bCs/>
          <w:lang w:val="zh-CN"/>
        </w:rPr>
        <w:fldChar w:fldCharType="end"/>
      </w:r>
    </w:p>
    <w:p w14:paraId="05DDFB43">
      <w:pPr>
        <w:pStyle w:val="8"/>
        <w:tabs>
          <w:tab w:val="right" w:leader="dot" w:pos="8845"/>
        </w:tabs>
      </w:pPr>
      <w:r>
        <w:rPr>
          <w:bCs/>
          <w:lang w:val="zh-CN"/>
        </w:rPr>
        <w:fldChar w:fldCharType="begin"/>
      </w:r>
      <w:r>
        <w:rPr>
          <w:bCs/>
          <w:lang w:val="zh-CN"/>
        </w:rPr>
        <w:instrText xml:space="preserve"> HYPERLINK \l _Toc25210 </w:instrText>
      </w:r>
      <w:r>
        <w:rPr>
          <w:bCs/>
          <w:lang w:val="zh-CN"/>
        </w:rPr>
        <w:fldChar w:fldCharType="separate"/>
      </w:r>
      <w:r>
        <w:rPr>
          <w:rFonts w:ascii="Times New Roman" w:eastAsia="黑体"/>
          <w:szCs w:val="32"/>
        </w:rPr>
        <w:t>案例：</w:t>
      </w:r>
      <w:r>
        <w:rPr>
          <w:rFonts w:hint="eastAsia" w:ascii="Times New Roman"/>
        </w:rPr>
        <w:t>水生态价值转化“金山银山”</w:t>
      </w:r>
      <w:r>
        <w:tab/>
      </w:r>
      <w:r>
        <w:fldChar w:fldCharType="begin"/>
      </w:r>
      <w:r>
        <w:instrText xml:space="preserve"> PAGEREF _Toc25210 \h </w:instrText>
      </w:r>
      <w:r>
        <w:fldChar w:fldCharType="separate"/>
      </w:r>
      <w:r>
        <w:t>27</w:t>
      </w:r>
      <w:r>
        <w:fldChar w:fldCharType="end"/>
      </w:r>
      <w:r>
        <w:rPr>
          <w:bCs/>
          <w:lang w:val="zh-CN"/>
        </w:rPr>
        <w:fldChar w:fldCharType="end"/>
      </w:r>
    </w:p>
    <w:p w14:paraId="4F195321">
      <w:pPr>
        <w:pStyle w:val="12"/>
        <w:tabs>
          <w:tab w:val="right" w:leader="dot" w:pos="8845"/>
          <w:tab w:val="clear" w:pos="8296"/>
        </w:tabs>
      </w:pPr>
      <w:r>
        <w:rPr>
          <w:bCs/>
          <w:lang w:val="zh-CN"/>
        </w:rPr>
        <w:fldChar w:fldCharType="begin"/>
      </w:r>
      <w:r>
        <w:rPr>
          <w:bCs/>
          <w:lang w:val="zh-CN"/>
        </w:rPr>
        <w:instrText xml:space="preserve"> HYPERLINK \l _Toc17551 </w:instrText>
      </w:r>
      <w:r>
        <w:rPr>
          <w:bCs/>
          <w:lang w:val="zh-CN"/>
        </w:rPr>
        <w:fldChar w:fldCharType="separate"/>
      </w:r>
      <w:r>
        <w:rPr>
          <w:rFonts w:ascii="Times New Roman" w:hAnsi="Times New Roman"/>
          <w:lang w:val="en-US"/>
        </w:rPr>
        <w:t>9绿色项目</w:t>
      </w:r>
      <w:r>
        <w:tab/>
      </w:r>
      <w:r>
        <w:fldChar w:fldCharType="begin"/>
      </w:r>
      <w:r>
        <w:instrText xml:space="preserve"> PAGEREF _Toc17551 \h </w:instrText>
      </w:r>
      <w:r>
        <w:fldChar w:fldCharType="separate"/>
      </w:r>
      <w:r>
        <w:t>31</w:t>
      </w:r>
      <w:r>
        <w:fldChar w:fldCharType="end"/>
      </w:r>
      <w:r>
        <w:rPr>
          <w:bCs/>
          <w:lang w:val="zh-CN"/>
        </w:rPr>
        <w:fldChar w:fldCharType="end"/>
      </w:r>
    </w:p>
    <w:p w14:paraId="2B6D93E3">
      <w:pPr>
        <w:spacing w:line="280" w:lineRule="exact"/>
        <w:ind w:firstLine="643"/>
        <w:rPr>
          <w:b/>
          <w:bCs/>
          <w:sz w:val="44"/>
          <w:szCs w:val="44"/>
          <w:lang w:val="zh-CN"/>
        </w:rPr>
      </w:pPr>
      <w:r>
        <w:rPr>
          <w:bCs/>
          <w:lang w:val="zh-CN"/>
        </w:rPr>
        <w:fldChar w:fldCharType="end"/>
      </w:r>
      <w:bookmarkStart w:id="0" w:name="_Toc70665242"/>
      <w:bookmarkStart w:id="1" w:name="_Toc42012315"/>
    </w:p>
    <w:p w14:paraId="25CF246A">
      <w:pPr>
        <w:pStyle w:val="2"/>
        <w:ind w:firstLine="640"/>
        <w:rPr>
          <w:rFonts w:ascii="Times New Roman" w:hAnsi="Times New Roman"/>
          <w:color w:val="000000"/>
          <w:u w:color="000000"/>
          <w:lang w:val="en-US"/>
        </w:rPr>
      </w:pPr>
    </w:p>
    <w:p w14:paraId="16B4ABC9">
      <w:pPr>
        <w:pStyle w:val="2"/>
        <w:ind w:firstLine="640"/>
        <w:rPr>
          <w:rFonts w:ascii="Times New Roman" w:hAnsi="Times New Roman"/>
          <w:color w:val="000000"/>
          <w:u w:color="000000"/>
          <w:lang w:val="en-US"/>
        </w:rPr>
      </w:pPr>
    </w:p>
    <w:p w14:paraId="2C2EF71E">
      <w:pPr>
        <w:pStyle w:val="2"/>
        <w:ind w:firstLine="640"/>
        <w:rPr>
          <w:rFonts w:ascii="Times New Roman" w:hAnsi="Times New Roman"/>
          <w:color w:val="000000"/>
          <w:u w:color="000000"/>
          <w:lang w:val="en-US"/>
        </w:rPr>
      </w:pPr>
    </w:p>
    <w:p w14:paraId="20CAFD1D">
      <w:pPr>
        <w:pStyle w:val="2"/>
        <w:ind w:firstLine="640"/>
        <w:rPr>
          <w:rFonts w:ascii="Times New Roman" w:hAnsi="Times New Roman"/>
          <w:color w:val="000000"/>
          <w:u w:color="000000"/>
          <w:lang w:val="en-US"/>
        </w:rPr>
      </w:pPr>
    </w:p>
    <w:p w14:paraId="265CF264">
      <w:pPr>
        <w:pStyle w:val="2"/>
        <w:ind w:firstLine="640"/>
        <w:rPr>
          <w:rFonts w:ascii="Times New Roman" w:hAnsi="Times New Roman"/>
          <w:color w:val="000000"/>
          <w:u w:color="000000"/>
          <w:lang w:val="en-US"/>
        </w:rPr>
      </w:pPr>
    </w:p>
    <w:p w14:paraId="56CBAA49">
      <w:pPr>
        <w:pStyle w:val="2"/>
        <w:ind w:firstLine="640"/>
        <w:rPr>
          <w:rFonts w:ascii="Times New Roman" w:hAnsi="Times New Roman"/>
          <w:color w:val="000000"/>
          <w:u w:color="000000"/>
          <w:lang w:val="en-US"/>
        </w:rPr>
      </w:pPr>
    </w:p>
    <w:p w14:paraId="5E50A90E">
      <w:pPr>
        <w:pStyle w:val="2"/>
        <w:ind w:firstLine="640"/>
        <w:rPr>
          <w:rFonts w:ascii="Times New Roman" w:hAnsi="Times New Roman"/>
          <w:color w:val="000000"/>
          <w:u w:color="000000"/>
          <w:lang w:val="en-US"/>
        </w:rPr>
      </w:pPr>
    </w:p>
    <w:p w14:paraId="57726590">
      <w:pPr>
        <w:pStyle w:val="2"/>
        <w:ind w:firstLine="640"/>
        <w:rPr>
          <w:rFonts w:ascii="Times New Roman" w:hAnsi="Times New Roman"/>
          <w:color w:val="000000"/>
          <w:u w:color="000000"/>
          <w:lang w:val="en-US"/>
        </w:rPr>
      </w:pPr>
    </w:p>
    <w:p w14:paraId="5AAF193B">
      <w:pPr>
        <w:pStyle w:val="2"/>
        <w:ind w:firstLine="640"/>
        <w:rPr>
          <w:rFonts w:ascii="Times New Roman" w:hAnsi="Times New Roman"/>
          <w:color w:val="000000"/>
          <w:u w:color="000000"/>
          <w:lang w:val="en-US"/>
        </w:rPr>
      </w:pPr>
    </w:p>
    <w:p w14:paraId="0A67D70F">
      <w:pPr>
        <w:pStyle w:val="2"/>
        <w:ind w:firstLine="640"/>
        <w:rPr>
          <w:rFonts w:ascii="Times New Roman" w:hAnsi="Times New Roman"/>
          <w:color w:val="000000"/>
          <w:u w:color="000000"/>
          <w:lang w:val="en-US"/>
        </w:rPr>
      </w:pPr>
    </w:p>
    <w:p w14:paraId="4CB22022">
      <w:pPr>
        <w:pStyle w:val="2"/>
        <w:ind w:firstLine="640"/>
        <w:rPr>
          <w:rFonts w:ascii="Times New Roman" w:hAnsi="Times New Roman"/>
          <w:color w:val="000000"/>
          <w:u w:color="000000"/>
          <w:lang w:val="en-US"/>
        </w:rPr>
      </w:pPr>
    </w:p>
    <w:p w14:paraId="68878F57">
      <w:pPr>
        <w:pStyle w:val="2"/>
        <w:ind w:firstLine="640"/>
        <w:rPr>
          <w:rFonts w:ascii="Times New Roman" w:hAnsi="Times New Roman"/>
          <w:color w:val="000000"/>
          <w:u w:color="000000"/>
          <w:lang w:val="en-US"/>
        </w:rPr>
      </w:pPr>
    </w:p>
    <w:p w14:paraId="3392F863">
      <w:pPr>
        <w:pStyle w:val="2"/>
        <w:ind w:firstLine="640"/>
        <w:rPr>
          <w:rFonts w:ascii="Times New Roman" w:hAnsi="Times New Roman"/>
          <w:color w:val="000000"/>
          <w:u w:color="000000"/>
          <w:lang w:val="en-US"/>
        </w:rPr>
      </w:pPr>
    </w:p>
    <w:p w14:paraId="284FCA81">
      <w:pPr>
        <w:pStyle w:val="2"/>
        <w:ind w:firstLine="0" w:firstLineChars="0"/>
        <w:rPr>
          <w:rFonts w:ascii="Times New Roman" w:hAnsi="Times New Roman"/>
          <w:color w:val="000000"/>
          <w:u w:color="000000"/>
          <w:lang w:val="en-US"/>
        </w:rPr>
      </w:pPr>
    </w:p>
    <w:p w14:paraId="181876DB">
      <w:pPr>
        <w:pStyle w:val="2"/>
        <w:ind w:firstLine="640"/>
        <w:rPr>
          <w:rFonts w:hint="eastAsia" w:cs="黑体"/>
          <w:color w:val="000000"/>
          <w:u w:color="000000"/>
          <w:lang w:val="en-US"/>
        </w:rPr>
      </w:pPr>
    </w:p>
    <w:p w14:paraId="7AF09E05">
      <w:pPr>
        <w:pStyle w:val="2"/>
        <w:ind w:firstLine="640"/>
        <w:rPr>
          <w:rFonts w:hint="eastAsia" w:cs="黑体"/>
          <w:color w:val="000000"/>
          <w:u w:color="000000"/>
          <w:lang w:val="en-US"/>
        </w:rPr>
      </w:pPr>
    </w:p>
    <w:p w14:paraId="458C3911">
      <w:pPr>
        <w:pStyle w:val="2"/>
        <w:ind w:firstLine="640"/>
        <w:rPr>
          <w:rFonts w:hint="eastAsia" w:cs="黑体"/>
          <w:color w:val="000000"/>
          <w:u w:color="000000"/>
          <w:lang w:val="en-US"/>
        </w:rPr>
      </w:pPr>
    </w:p>
    <w:p w14:paraId="7D9467AD">
      <w:pPr>
        <w:pStyle w:val="2"/>
        <w:ind w:firstLine="640"/>
        <w:rPr>
          <w:rFonts w:hint="eastAsia" w:cs="黑体"/>
          <w:color w:val="000000"/>
          <w:u w:color="000000"/>
          <w:lang w:val="en-US"/>
        </w:rPr>
      </w:pPr>
      <w:bookmarkStart w:id="2" w:name="_Toc31124"/>
      <w:r>
        <w:rPr>
          <w:rFonts w:hint="eastAsia" w:cs="黑体"/>
          <w:color w:val="000000"/>
          <w:u w:color="000000"/>
          <w:lang w:val="en-US"/>
        </w:rPr>
        <w:t>1关于本报告</w:t>
      </w:r>
      <w:bookmarkEnd w:id="0"/>
      <w:bookmarkEnd w:id="1"/>
      <w:bookmarkEnd w:id="2"/>
    </w:p>
    <w:p w14:paraId="415A59EC">
      <w:pPr>
        <w:spacing w:before="156" w:beforeLines="50" w:after="156" w:afterLines="50" w:line="560" w:lineRule="exact"/>
        <w:ind w:firstLine="643" w:firstLineChars="200"/>
        <w:rPr>
          <w:rFonts w:hint="eastAsia" w:ascii="楷体_GB2312" w:hAnsi="楷体_GB2312" w:eastAsia="楷体_GB2312" w:cs="楷体_GB2312"/>
          <w:b/>
          <w:bCs/>
          <w:sz w:val="32"/>
          <w:szCs w:val="32"/>
          <w:u w:color="000000"/>
          <w:lang w:val="zh-TW"/>
        </w:rPr>
      </w:pPr>
      <w:bookmarkStart w:id="3" w:name="_Toc38615311"/>
      <w:bookmarkStart w:id="4" w:name="_Toc38615348"/>
      <w:bookmarkStart w:id="5" w:name="_Toc38615456"/>
      <w:r>
        <w:rPr>
          <w:rFonts w:hint="eastAsia" w:ascii="楷体_GB2312" w:hAnsi="楷体_GB2312" w:eastAsia="楷体_GB2312" w:cs="楷体_GB2312"/>
          <w:b/>
          <w:bCs/>
          <w:sz w:val="32"/>
          <w:szCs w:val="32"/>
          <w:u w:color="000000"/>
          <w:lang w:val="zh-TW"/>
        </w:rPr>
        <w:t>报告简介</w:t>
      </w:r>
      <w:bookmarkEnd w:id="3"/>
      <w:bookmarkEnd w:id="4"/>
      <w:bookmarkEnd w:id="5"/>
      <w:bookmarkStart w:id="6" w:name="_Toc38615488"/>
      <w:bookmarkStart w:id="7" w:name="_Toc38615349"/>
      <w:bookmarkStart w:id="8" w:name="_Toc38615312"/>
      <w:bookmarkStart w:id="9" w:name="_Toc38615169"/>
      <w:bookmarkStart w:id="10" w:name="_Toc38615457"/>
    </w:p>
    <w:p w14:paraId="42389929">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浙江安吉</w:t>
      </w:r>
      <w:r>
        <w:rPr>
          <w:rFonts w:eastAsia="仿宋_GB2312"/>
          <w:color w:val="000000"/>
          <w:sz w:val="32"/>
          <w:szCs w:val="32"/>
          <w:u w:color="000000"/>
          <w:lang w:val="zh-TW"/>
        </w:rPr>
        <w:t>农村商业银行股份有限公司</w:t>
      </w:r>
      <w:r>
        <w:rPr>
          <w:rFonts w:hint="eastAsia" w:eastAsia="仿宋_GB2312"/>
          <w:color w:val="000000"/>
          <w:sz w:val="32"/>
          <w:szCs w:val="32"/>
          <w:u w:color="000000"/>
          <w:lang w:val="zh-TW"/>
        </w:rPr>
        <w:t>，于2008年7月统一一级法人，2013年12月改制成农商银行</w:t>
      </w:r>
      <w:r>
        <w:rPr>
          <w:rFonts w:hint="eastAsia" w:eastAsia="仿宋_GB2312"/>
          <w:sz w:val="32"/>
          <w:szCs w:val="32"/>
          <w:u w:color="000000"/>
          <w:lang w:val="zh-TW"/>
        </w:rPr>
        <w:t>。目前，全行下辖</w:t>
      </w:r>
      <w:r>
        <w:rPr>
          <w:rFonts w:hint="eastAsia" w:eastAsia="仿宋_GB2312"/>
          <w:sz w:val="32"/>
          <w:szCs w:val="32"/>
          <w:u w:color="000000"/>
        </w:rPr>
        <w:t>42</w:t>
      </w:r>
      <w:r>
        <w:rPr>
          <w:rFonts w:hint="eastAsia" w:eastAsia="仿宋_GB2312"/>
          <w:sz w:val="32"/>
          <w:szCs w:val="32"/>
          <w:u w:color="000000"/>
          <w:lang w:val="zh-TW"/>
        </w:rPr>
        <w:t>家营业机构网点，从业人员</w:t>
      </w:r>
      <w:r>
        <w:rPr>
          <w:rFonts w:eastAsia="仿宋_GB2312"/>
          <w:sz w:val="32"/>
          <w:szCs w:val="32"/>
          <w:u w:color="000000"/>
        </w:rPr>
        <w:t>7</w:t>
      </w:r>
      <w:r>
        <w:rPr>
          <w:rFonts w:hint="eastAsia" w:eastAsia="仿宋_GB2312"/>
          <w:sz w:val="32"/>
          <w:szCs w:val="32"/>
          <w:u w:color="000000"/>
        </w:rPr>
        <w:t>20</w:t>
      </w:r>
      <w:r>
        <w:rPr>
          <w:rFonts w:hint="eastAsia" w:eastAsia="仿宋_GB2312"/>
          <w:sz w:val="32"/>
          <w:szCs w:val="32"/>
          <w:u w:color="000000"/>
          <w:lang w:val="zh-TW"/>
        </w:rPr>
        <w:t>人，是安吉县内存贷规模最大、网点数量最多、服务惠及面最广的银行业金融机构，被安吉县政府授予“乡村振兴主办银行”。</w:t>
      </w:r>
      <w:r>
        <w:rPr>
          <w:rFonts w:eastAsia="仿宋_GB2312"/>
          <w:sz w:val="32"/>
          <w:szCs w:val="32"/>
          <w:u w:color="000000"/>
        </w:rPr>
        <w:t>202</w:t>
      </w:r>
      <w:r>
        <w:rPr>
          <w:rFonts w:hint="eastAsia" w:eastAsia="仿宋_GB2312"/>
          <w:sz w:val="32"/>
          <w:szCs w:val="32"/>
          <w:u w:color="000000"/>
        </w:rPr>
        <w:t>4</w:t>
      </w:r>
      <w:r>
        <w:rPr>
          <w:rFonts w:hint="eastAsia" w:eastAsia="仿宋_GB2312"/>
          <w:sz w:val="32"/>
          <w:szCs w:val="32"/>
          <w:u w:color="000000"/>
          <w:lang w:eastAsia="zh-Hans"/>
        </w:rPr>
        <w:t>年</w:t>
      </w:r>
      <w:r>
        <w:rPr>
          <w:rFonts w:hint="eastAsia" w:eastAsia="仿宋_GB2312"/>
          <w:sz w:val="32"/>
          <w:szCs w:val="32"/>
          <w:u w:color="000000"/>
        </w:rPr>
        <w:t>，本行</w:t>
      </w:r>
      <w:r>
        <w:rPr>
          <w:rFonts w:hint="eastAsia" w:eastAsia="仿宋_GB2312"/>
          <w:sz w:val="32"/>
          <w:szCs w:val="32"/>
          <w:u w:color="000000"/>
          <w:lang w:val="zh-TW"/>
        </w:rPr>
        <w:t>以习近平新时代中国特色社会主义思想为指导，完整、准确、全面贯彻高质量推进绿色低碳</w:t>
      </w:r>
      <w:r>
        <w:rPr>
          <w:rFonts w:hint="eastAsia" w:eastAsia="仿宋_GB2312"/>
          <w:sz w:val="32"/>
          <w:szCs w:val="32"/>
          <w:u w:color="000000"/>
        </w:rPr>
        <w:t>新</w:t>
      </w:r>
      <w:r>
        <w:rPr>
          <w:rFonts w:hint="eastAsia" w:eastAsia="仿宋_GB2312"/>
          <w:sz w:val="32"/>
          <w:szCs w:val="32"/>
          <w:u w:color="000000"/>
          <w:lang w:val="zh-TW"/>
        </w:rPr>
        <w:t>发展</w:t>
      </w:r>
      <w:r>
        <w:rPr>
          <w:rFonts w:hint="eastAsia" w:eastAsia="仿宋_GB2312"/>
          <w:sz w:val="32"/>
          <w:szCs w:val="32"/>
          <w:u w:color="000000"/>
        </w:rPr>
        <w:t>理念，</w:t>
      </w:r>
      <w:r>
        <w:rPr>
          <w:rFonts w:hint="eastAsia" w:eastAsia="仿宋_GB2312"/>
          <w:sz w:val="32"/>
          <w:szCs w:val="32"/>
          <w:u w:color="000000"/>
          <w:lang w:eastAsia="zh-Hans"/>
        </w:rPr>
        <w:t>以湖州市争创国家绿色金融改革创新示范区为契机</w:t>
      </w:r>
      <w:r>
        <w:rPr>
          <w:rFonts w:eastAsia="仿宋_GB2312"/>
          <w:sz w:val="32"/>
          <w:szCs w:val="32"/>
          <w:u w:color="000000"/>
          <w:lang w:eastAsia="zh-Hans"/>
        </w:rPr>
        <w:t>，</w:t>
      </w:r>
      <w:r>
        <w:rPr>
          <w:rFonts w:hint="eastAsia" w:eastAsia="仿宋_GB2312"/>
          <w:sz w:val="32"/>
          <w:szCs w:val="32"/>
          <w:u w:color="000000"/>
          <w:lang w:val="zh-TW"/>
        </w:rPr>
        <w:t>立足普惠金融服务对象</w:t>
      </w:r>
      <w:r>
        <w:rPr>
          <w:rFonts w:eastAsia="仿宋_GB2312"/>
          <w:sz w:val="32"/>
          <w:szCs w:val="32"/>
          <w:u w:color="000000"/>
          <w:lang w:eastAsia="zh-Hans"/>
        </w:rPr>
        <w:t>，</w:t>
      </w:r>
      <w:r>
        <w:rPr>
          <w:rFonts w:hint="eastAsia" w:eastAsia="仿宋_GB2312"/>
          <w:sz w:val="32"/>
          <w:szCs w:val="32"/>
          <w:u w:color="000000"/>
          <w:lang w:eastAsia="zh-Hans"/>
        </w:rPr>
        <w:t>围绕打造“绿色普惠标杆银行”的目标愿景</w:t>
      </w:r>
      <w:r>
        <w:rPr>
          <w:rFonts w:eastAsia="仿宋_GB2312"/>
          <w:sz w:val="32"/>
          <w:szCs w:val="32"/>
          <w:u w:color="000000"/>
          <w:lang w:eastAsia="zh-Hans"/>
        </w:rPr>
        <w:t>，</w:t>
      </w:r>
      <w:r>
        <w:rPr>
          <w:rFonts w:hint="eastAsia" w:eastAsia="仿宋_GB2312"/>
          <w:sz w:val="32"/>
          <w:szCs w:val="32"/>
          <w:u w:color="000000"/>
          <w:lang w:eastAsia="zh-Hans"/>
        </w:rPr>
        <w:t>按照“碳中和”银行建设规划路线图</w:t>
      </w:r>
      <w:r>
        <w:rPr>
          <w:rFonts w:eastAsia="仿宋_GB2312"/>
          <w:sz w:val="32"/>
          <w:szCs w:val="32"/>
          <w:u w:color="000000"/>
          <w:lang w:eastAsia="zh-Hans"/>
        </w:rPr>
        <w:t>，</w:t>
      </w:r>
      <w:r>
        <w:rPr>
          <w:rFonts w:hint="eastAsia" w:eastAsia="仿宋_GB2312"/>
          <w:sz w:val="32"/>
          <w:szCs w:val="32"/>
          <w:u w:color="000000"/>
          <w:lang w:eastAsia="zh-Hans"/>
        </w:rPr>
        <w:t>以自身运营和金融资产碳核算为突破</w:t>
      </w:r>
      <w:r>
        <w:rPr>
          <w:rFonts w:eastAsia="仿宋_GB2312"/>
          <w:sz w:val="32"/>
          <w:szCs w:val="32"/>
          <w:u w:color="000000"/>
          <w:lang w:eastAsia="zh-Hans"/>
        </w:rPr>
        <w:t>，</w:t>
      </w:r>
      <w:r>
        <w:rPr>
          <w:rFonts w:hint="eastAsia" w:eastAsia="仿宋_GB2312"/>
          <w:sz w:val="32"/>
          <w:szCs w:val="32"/>
          <w:u w:color="000000"/>
          <w:lang w:eastAsia="zh-Hans"/>
        </w:rPr>
        <w:t>构建以碳减排为导向的绿色金融服务体系</w:t>
      </w:r>
      <w:r>
        <w:rPr>
          <w:rFonts w:eastAsia="仿宋_GB2312"/>
          <w:sz w:val="32"/>
          <w:szCs w:val="32"/>
          <w:u w:color="000000"/>
          <w:lang w:eastAsia="zh-Hans"/>
        </w:rPr>
        <w:t>，</w:t>
      </w:r>
      <w:r>
        <w:rPr>
          <w:rFonts w:hint="eastAsia" w:eastAsia="仿宋_GB2312"/>
          <w:sz w:val="32"/>
          <w:szCs w:val="32"/>
          <w:u w:color="000000"/>
          <w:lang w:eastAsia="zh-Hans"/>
        </w:rPr>
        <w:t>同时聚焦减污降碳</w:t>
      </w:r>
      <w:r>
        <w:rPr>
          <w:rFonts w:eastAsia="仿宋_GB2312"/>
          <w:sz w:val="32"/>
          <w:szCs w:val="32"/>
          <w:u w:color="000000"/>
          <w:lang w:eastAsia="zh-Hans"/>
        </w:rPr>
        <w:t>，</w:t>
      </w:r>
      <w:r>
        <w:rPr>
          <w:rFonts w:hint="eastAsia" w:eastAsia="仿宋_GB2312"/>
          <w:sz w:val="32"/>
          <w:szCs w:val="32"/>
          <w:u w:color="000000"/>
          <w:lang w:eastAsia="zh-Hans"/>
        </w:rPr>
        <w:t>积极探索产品与服</w:t>
      </w:r>
      <w:r>
        <w:rPr>
          <w:rFonts w:hint="eastAsia" w:eastAsia="仿宋_GB2312"/>
          <w:sz w:val="32"/>
          <w:szCs w:val="32"/>
          <w:u w:color="000000"/>
          <w:lang w:val="zh-TW" w:eastAsia="zh-Hans"/>
        </w:rPr>
        <w:t>务创新</w:t>
      </w:r>
      <w:r>
        <w:rPr>
          <w:rFonts w:eastAsia="仿宋_GB2312"/>
          <w:sz w:val="32"/>
          <w:szCs w:val="32"/>
          <w:u w:color="000000"/>
          <w:lang w:val="zh-TW" w:eastAsia="zh-Hans"/>
        </w:rPr>
        <w:t>，</w:t>
      </w:r>
      <w:r>
        <w:rPr>
          <w:rFonts w:hint="eastAsia" w:eastAsia="仿宋_GB2312"/>
          <w:sz w:val="32"/>
          <w:szCs w:val="32"/>
          <w:u w:color="000000"/>
          <w:lang w:val="zh-TW" w:eastAsia="zh-Hans"/>
        </w:rPr>
        <w:t>加大普惠群体的支持力度</w:t>
      </w:r>
      <w:r>
        <w:rPr>
          <w:rFonts w:eastAsia="仿宋_GB2312"/>
          <w:sz w:val="32"/>
          <w:szCs w:val="32"/>
          <w:u w:color="000000"/>
          <w:lang w:val="zh-TW" w:eastAsia="zh-Hans"/>
        </w:rPr>
        <w:t>，</w:t>
      </w:r>
      <w:r>
        <w:rPr>
          <w:rFonts w:hint="eastAsia" w:eastAsia="仿宋_GB2312"/>
          <w:sz w:val="32"/>
          <w:szCs w:val="32"/>
          <w:u w:color="000000"/>
          <w:lang w:val="zh-TW" w:eastAsia="zh-Hans"/>
        </w:rPr>
        <w:t>助推地方经济社会绿色低碳高质量发展</w:t>
      </w:r>
      <w:r>
        <w:rPr>
          <w:rFonts w:eastAsia="仿宋_GB2312"/>
          <w:sz w:val="32"/>
          <w:szCs w:val="32"/>
          <w:u w:color="000000"/>
          <w:lang w:val="zh-TW" w:eastAsia="zh-Hans"/>
        </w:rPr>
        <w:t>。</w:t>
      </w:r>
      <w:r>
        <w:rPr>
          <w:rFonts w:hint="eastAsia" w:eastAsia="仿宋_GB2312"/>
          <w:color w:val="000000"/>
          <w:sz w:val="32"/>
          <w:szCs w:val="32"/>
          <w:u w:color="000000"/>
          <w:lang w:val="zh-TW"/>
        </w:rPr>
        <w:t>本报告</w:t>
      </w:r>
      <w:r>
        <w:rPr>
          <w:rFonts w:eastAsia="仿宋_GB2312"/>
          <w:color w:val="000000"/>
          <w:sz w:val="32"/>
          <w:szCs w:val="32"/>
          <w:u w:color="000000"/>
          <w:lang w:val="zh-TW"/>
        </w:rPr>
        <w:t>旨在披露</w:t>
      </w:r>
      <w:r>
        <w:rPr>
          <w:rFonts w:hint="eastAsia" w:eastAsia="仿宋_GB2312"/>
          <w:color w:val="000000"/>
          <w:sz w:val="32"/>
          <w:szCs w:val="32"/>
          <w:u w:color="000000"/>
          <w:lang w:val="zh-TW"/>
        </w:rPr>
        <w:t>浙江安吉</w:t>
      </w:r>
      <w:r>
        <w:rPr>
          <w:rFonts w:eastAsia="仿宋_GB2312"/>
          <w:color w:val="000000"/>
          <w:sz w:val="32"/>
          <w:szCs w:val="32"/>
          <w:u w:color="000000"/>
          <w:lang w:val="zh-TW"/>
        </w:rPr>
        <w:t>农村商业银行股份有限公司</w:t>
      </w:r>
      <w:r>
        <w:rPr>
          <w:rFonts w:hint="eastAsia" w:eastAsia="仿宋_GB2312"/>
          <w:color w:val="000000"/>
          <w:sz w:val="32"/>
          <w:szCs w:val="32"/>
          <w:u w:color="000000"/>
          <w:lang w:val="zh-TW"/>
        </w:rPr>
        <w:t>202</w:t>
      </w:r>
      <w:r>
        <w:rPr>
          <w:rFonts w:hint="eastAsia" w:eastAsia="仿宋_GB2312"/>
          <w:color w:val="000000"/>
          <w:sz w:val="32"/>
          <w:szCs w:val="32"/>
          <w:u w:color="000000"/>
        </w:rPr>
        <w:t>4</w:t>
      </w:r>
      <w:r>
        <w:rPr>
          <w:rFonts w:hint="eastAsia" w:eastAsia="仿宋_GB2312"/>
          <w:color w:val="000000"/>
          <w:sz w:val="32"/>
          <w:szCs w:val="32"/>
          <w:u w:color="000000"/>
          <w:lang w:val="zh-TW"/>
        </w:rPr>
        <w:t>年度绿色金融以及社会与环境风险方面的概况</w:t>
      </w:r>
      <w:r>
        <w:rPr>
          <w:rFonts w:eastAsia="仿宋_GB2312"/>
          <w:color w:val="000000"/>
          <w:sz w:val="32"/>
          <w:szCs w:val="32"/>
          <w:u w:color="000000"/>
          <w:lang w:val="zh-TW"/>
        </w:rPr>
        <w:t>、</w:t>
      </w:r>
      <w:r>
        <w:rPr>
          <w:rFonts w:hint="eastAsia" w:eastAsia="仿宋_GB2312"/>
          <w:color w:val="000000"/>
          <w:sz w:val="32"/>
          <w:szCs w:val="32"/>
          <w:u w:color="000000"/>
          <w:lang w:val="zh-TW"/>
        </w:rPr>
        <w:t>规划与目标、治理结构、政策制度、环境风险管理及流程、绿色金融创新及实践案例、自身运营对环境的影响、投融资过程中对环境的影响等相关信息，为</w:t>
      </w:r>
      <w:r>
        <w:rPr>
          <w:rFonts w:eastAsia="仿宋_GB2312"/>
          <w:color w:val="000000"/>
          <w:sz w:val="32"/>
          <w:szCs w:val="32"/>
          <w:u w:color="000000"/>
          <w:lang w:val="zh-TW"/>
        </w:rPr>
        <w:t>提高透明度和信誉，增强公众知情权，不断强化为各利益相关方和社会公众提供高质量信息披露的责任意识</w:t>
      </w:r>
      <w:r>
        <w:rPr>
          <w:rFonts w:hint="eastAsia" w:eastAsia="仿宋_GB2312"/>
          <w:color w:val="000000"/>
          <w:sz w:val="32"/>
          <w:szCs w:val="32"/>
          <w:u w:color="000000"/>
          <w:lang w:val="zh-TW"/>
        </w:rPr>
        <w:t>，以促进监管</w:t>
      </w:r>
      <w:r>
        <w:rPr>
          <w:rFonts w:eastAsia="仿宋_GB2312"/>
          <w:color w:val="000000"/>
          <w:sz w:val="32"/>
          <w:szCs w:val="32"/>
          <w:u w:color="000000"/>
          <w:lang w:val="zh-TW"/>
        </w:rPr>
        <w:t>部门、</w:t>
      </w:r>
      <w:r>
        <w:rPr>
          <w:rFonts w:hint="eastAsia" w:eastAsia="仿宋_GB2312"/>
          <w:color w:val="000000"/>
          <w:sz w:val="32"/>
          <w:szCs w:val="32"/>
          <w:u w:color="000000"/>
          <w:lang w:val="zh-TW"/>
        </w:rPr>
        <w:t>各利益相关方与本行进行充分的沟通与了解。</w:t>
      </w:r>
      <w:bookmarkEnd w:id="6"/>
      <w:bookmarkEnd w:id="7"/>
      <w:bookmarkEnd w:id="8"/>
      <w:bookmarkEnd w:id="9"/>
      <w:bookmarkEnd w:id="10"/>
    </w:p>
    <w:p w14:paraId="10589F5A">
      <w:pPr>
        <w:pStyle w:val="40"/>
        <w:ind w:firstLine="643"/>
        <w:rPr>
          <w:rFonts w:ascii="Times New Roman" w:hAnsi="Times New Roman"/>
        </w:rPr>
      </w:pPr>
      <w:bookmarkStart w:id="11" w:name="_Toc38615350"/>
      <w:bookmarkStart w:id="12" w:name="_Toc39764161"/>
      <w:bookmarkStart w:id="13" w:name="_Toc38615313"/>
      <w:bookmarkStart w:id="14" w:name="_Toc42012316"/>
      <w:bookmarkStart w:id="15" w:name="_Toc38615458"/>
      <w:bookmarkStart w:id="16" w:name="_Toc70665243"/>
      <w:bookmarkStart w:id="17" w:name="_Toc4092"/>
      <w:r>
        <w:rPr>
          <w:rFonts w:ascii="Times New Roman" w:hAnsi="Times New Roman"/>
        </w:rPr>
        <w:t>1.1涵盖期间</w:t>
      </w:r>
      <w:bookmarkEnd w:id="11"/>
      <w:bookmarkEnd w:id="12"/>
      <w:bookmarkEnd w:id="13"/>
      <w:bookmarkEnd w:id="14"/>
      <w:bookmarkEnd w:id="15"/>
      <w:bookmarkEnd w:id="16"/>
      <w:r>
        <w:rPr>
          <w:rFonts w:ascii="Times New Roman" w:hAnsi="Times New Roman"/>
        </w:rPr>
        <w:t> </w:t>
      </w:r>
      <w:bookmarkEnd w:id="17"/>
    </w:p>
    <w:p w14:paraId="32E5F0ED">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本报告涵盖期限为202</w:t>
      </w:r>
      <w:r>
        <w:rPr>
          <w:rFonts w:hint="eastAsia" w:eastAsia="仿宋_GB2312"/>
          <w:color w:val="000000"/>
          <w:sz w:val="32"/>
          <w:szCs w:val="32"/>
          <w:u w:color="000000"/>
        </w:rPr>
        <w:t>4</w:t>
      </w:r>
      <w:r>
        <w:rPr>
          <w:rFonts w:hint="eastAsia" w:eastAsia="仿宋_GB2312"/>
          <w:color w:val="000000"/>
          <w:sz w:val="32"/>
          <w:szCs w:val="32"/>
          <w:u w:color="000000"/>
          <w:lang w:val="zh-TW"/>
        </w:rPr>
        <w:t>年1月1日至202</w:t>
      </w:r>
      <w:r>
        <w:rPr>
          <w:rFonts w:hint="eastAsia" w:eastAsia="仿宋_GB2312"/>
          <w:color w:val="000000"/>
          <w:sz w:val="32"/>
          <w:szCs w:val="32"/>
          <w:u w:color="000000"/>
        </w:rPr>
        <w:t>4</w:t>
      </w:r>
      <w:r>
        <w:rPr>
          <w:rFonts w:hint="eastAsia" w:eastAsia="仿宋_GB2312"/>
          <w:color w:val="000000"/>
          <w:sz w:val="32"/>
          <w:szCs w:val="32"/>
          <w:u w:color="000000"/>
          <w:lang w:val="zh-TW"/>
        </w:rPr>
        <w:t>年12月31日。</w:t>
      </w:r>
      <w:bookmarkStart w:id="18" w:name="_Toc38615314"/>
      <w:bookmarkStart w:id="19" w:name="_Toc42012317"/>
      <w:bookmarkStart w:id="20" w:name="_Toc38615351"/>
      <w:bookmarkStart w:id="21" w:name="_Toc38615459"/>
      <w:bookmarkStart w:id="22" w:name="_Toc70665244"/>
      <w:bookmarkStart w:id="23" w:name="_Toc39764162"/>
    </w:p>
    <w:p w14:paraId="3A587489">
      <w:pPr>
        <w:pStyle w:val="40"/>
        <w:ind w:firstLine="643"/>
        <w:rPr>
          <w:rFonts w:ascii="Times New Roman" w:hAnsi="Times New Roman"/>
        </w:rPr>
      </w:pPr>
      <w:bookmarkStart w:id="24" w:name="_Toc11964"/>
      <w:r>
        <w:rPr>
          <w:rFonts w:ascii="Times New Roman" w:hAnsi="Times New Roman"/>
        </w:rPr>
        <w:t>1.2报告周期</w:t>
      </w:r>
      <w:bookmarkEnd w:id="18"/>
      <w:bookmarkEnd w:id="19"/>
      <w:bookmarkEnd w:id="20"/>
      <w:bookmarkEnd w:id="21"/>
      <w:bookmarkEnd w:id="22"/>
      <w:bookmarkEnd w:id="23"/>
      <w:bookmarkEnd w:id="24"/>
    </w:p>
    <w:p w14:paraId="6E7B8DB3">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本报告为年度报告。</w:t>
      </w:r>
    </w:p>
    <w:p w14:paraId="14F7F561">
      <w:pPr>
        <w:pStyle w:val="40"/>
        <w:ind w:firstLine="643"/>
        <w:rPr>
          <w:rFonts w:ascii="Times New Roman" w:hAnsi="Times New Roman" w:eastAsia="仿宋_GB2312"/>
          <w:kern w:val="2"/>
        </w:rPr>
      </w:pPr>
      <w:bookmarkStart w:id="25" w:name="_Toc38615352"/>
      <w:bookmarkStart w:id="26" w:name="_Toc39764163"/>
      <w:bookmarkStart w:id="27" w:name="_Toc42012318"/>
      <w:bookmarkStart w:id="28" w:name="_Toc32642"/>
      <w:bookmarkStart w:id="29" w:name="_Toc38615315"/>
      <w:bookmarkStart w:id="30" w:name="_Toc38615460"/>
      <w:bookmarkStart w:id="31" w:name="_Toc70665245"/>
      <w:r>
        <w:rPr>
          <w:rFonts w:ascii="Times New Roman" w:hAnsi="Times New Roman"/>
        </w:rPr>
        <w:t>1.3报告范围</w:t>
      </w:r>
      <w:bookmarkEnd w:id="25"/>
      <w:bookmarkEnd w:id="26"/>
      <w:bookmarkEnd w:id="27"/>
      <w:bookmarkEnd w:id="28"/>
      <w:bookmarkEnd w:id="29"/>
      <w:bookmarkEnd w:id="30"/>
      <w:bookmarkEnd w:id="31"/>
    </w:p>
    <w:p w14:paraId="078D4CB4">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本报告的披露范围包含浙江安吉农村商业银行股份有限公司总部及辖内分支机构。</w:t>
      </w:r>
    </w:p>
    <w:p w14:paraId="52C44D49">
      <w:pPr>
        <w:pStyle w:val="40"/>
        <w:ind w:firstLine="643"/>
        <w:rPr>
          <w:rFonts w:ascii="Times New Roman" w:hAnsi="Times New Roman"/>
        </w:rPr>
      </w:pPr>
      <w:bookmarkStart w:id="32" w:name="_Toc39764164"/>
      <w:bookmarkStart w:id="33" w:name="_Toc38615316"/>
      <w:bookmarkStart w:id="34" w:name="_Toc38615353"/>
      <w:bookmarkStart w:id="35" w:name="_Toc38615461"/>
      <w:bookmarkStart w:id="36" w:name="_Toc19784"/>
      <w:bookmarkStart w:id="37" w:name="_Toc42012319"/>
      <w:bookmarkStart w:id="38" w:name="_Toc70665246"/>
      <w:r>
        <w:rPr>
          <w:rFonts w:ascii="Times New Roman" w:hAnsi="Times New Roman"/>
        </w:rPr>
        <w:t>1.4报告数据说明</w:t>
      </w:r>
      <w:bookmarkEnd w:id="32"/>
      <w:bookmarkEnd w:id="33"/>
      <w:bookmarkEnd w:id="34"/>
      <w:bookmarkEnd w:id="35"/>
      <w:bookmarkEnd w:id="36"/>
      <w:bookmarkEnd w:id="37"/>
      <w:bookmarkEnd w:id="38"/>
    </w:p>
    <w:p w14:paraId="4FD5D6B0">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报告中的财务数据以202</w:t>
      </w:r>
      <w:r>
        <w:rPr>
          <w:rFonts w:hint="eastAsia" w:eastAsia="仿宋_GB2312"/>
          <w:color w:val="000000"/>
          <w:sz w:val="32"/>
          <w:szCs w:val="32"/>
          <w:u w:color="000000"/>
        </w:rPr>
        <w:t>4</w:t>
      </w:r>
      <w:r>
        <w:rPr>
          <w:rFonts w:hint="eastAsia" w:eastAsia="仿宋_GB2312"/>
          <w:color w:val="000000"/>
          <w:sz w:val="32"/>
          <w:szCs w:val="32"/>
          <w:u w:color="000000"/>
          <w:lang w:val="zh-TW"/>
        </w:rPr>
        <w:t>年为主，部分包括以前年度数据，主要来自</w:t>
      </w:r>
      <w:r>
        <w:rPr>
          <w:rFonts w:hint="eastAsia" w:eastAsia="仿宋_GB2312"/>
          <w:color w:val="000000"/>
          <w:sz w:val="32"/>
          <w:szCs w:val="32"/>
          <w:u w:color="000000"/>
          <w:lang w:val="zh-TW" w:eastAsia="zh-Hans"/>
        </w:rPr>
        <w:t>第三方权威机构、</w:t>
      </w:r>
      <w:r>
        <w:rPr>
          <w:rFonts w:hint="eastAsia" w:eastAsia="仿宋_GB2312"/>
          <w:color w:val="000000"/>
          <w:sz w:val="32"/>
          <w:szCs w:val="32"/>
          <w:u w:color="000000"/>
          <w:lang w:val="zh-TW"/>
        </w:rPr>
        <w:t>本行内部文件和相关统计资料，可能会有部分数据因统计口径因素与年报数据有差异，以年报数据为准。</w:t>
      </w:r>
    </w:p>
    <w:p w14:paraId="599A10BA">
      <w:pPr>
        <w:pStyle w:val="40"/>
        <w:ind w:firstLine="643"/>
        <w:rPr>
          <w:rFonts w:ascii="Times New Roman" w:hAnsi="Times New Roman"/>
        </w:rPr>
      </w:pPr>
      <w:bookmarkStart w:id="39" w:name="_Toc39764165"/>
      <w:bookmarkStart w:id="40" w:name="_Toc38615462"/>
      <w:bookmarkStart w:id="41" w:name="_Toc38615317"/>
      <w:bookmarkStart w:id="42" w:name="_Toc38615354"/>
      <w:bookmarkStart w:id="43" w:name="_Toc3615"/>
      <w:bookmarkStart w:id="44" w:name="_Toc70665247"/>
      <w:bookmarkStart w:id="45" w:name="_Toc42012320"/>
      <w:r>
        <w:rPr>
          <w:rFonts w:ascii="Times New Roman" w:hAnsi="Times New Roman"/>
        </w:rPr>
        <w:t>1.5编制依据</w:t>
      </w:r>
      <w:bookmarkEnd w:id="39"/>
      <w:bookmarkEnd w:id="40"/>
      <w:bookmarkEnd w:id="41"/>
      <w:bookmarkEnd w:id="42"/>
      <w:bookmarkEnd w:id="43"/>
      <w:bookmarkEnd w:id="44"/>
      <w:bookmarkEnd w:id="45"/>
    </w:p>
    <w:p w14:paraId="068093E7">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本报告内容遵循中国银保监会</w:t>
      </w:r>
      <w:r>
        <w:rPr>
          <w:rFonts w:hint="eastAsia" w:eastAsia="仿宋_GB2312"/>
          <w:color w:val="000000"/>
          <w:sz w:val="32"/>
          <w:szCs w:val="32"/>
          <w:u w:color="000000"/>
          <w:lang w:val="zh-TW" w:eastAsia="zh-Hans"/>
        </w:rPr>
        <w:t>发布的《银行业保险业绿色金融指引》、</w:t>
      </w:r>
      <w:r>
        <w:rPr>
          <w:rFonts w:hint="eastAsia" w:eastAsia="仿宋_GB2312"/>
          <w:color w:val="000000"/>
          <w:sz w:val="32"/>
          <w:szCs w:val="32"/>
          <w:u w:color="000000"/>
          <w:lang w:val="zh-TW"/>
        </w:rPr>
        <w:t>中国银保监会湖州分局发布的《湖州市金融机构环境信息披露三年规划（2019-2021）》、中国人民银行下发的《金融机构环境信息披露指南（试行）》《银行业金融机构环境信息披露操作手册（试行）》等相关要求。</w:t>
      </w:r>
    </w:p>
    <w:p w14:paraId="0DB6C0B7">
      <w:pPr>
        <w:pStyle w:val="2"/>
        <w:ind w:firstLine="640"/>
        <w:rPr>
          <w:rFonts w:ascii="Times New Roman" w:hAnsi="Times New Roman"/>
          <w:color w:val="000000"/>
          <w:u w:color="000000"/>
          <w:lang w:val="en-US"/>
        </w:rPr>
      </w:pPr>
      <w:bookmarkStart w:id="46" w:name="_Toc70665248"/>
      <w:bookmarkStart w:id="47" w:name="_Toc19920"/>
      <w:bookmarkStart w:id="48" w:name="_Toc42012321"/>
      <w:r>
        <w:rPr>
          <w:rFonts w:ascii="Times New Roman" w:hAnsi="Times New Roman"/>
          <w:color w:val="000000"/>
          <w:u w:color="000000"/>
          <w:lang w:val="en-US"/>
        </w:rPr>
        <w:t>2年度概况</w:t>
      </w:r>
      <w:bookmarkEnd w:id="46"/>
      <w:bookmarkEnd w:id="47"/>
      <w:bookmarkEnd w:id="48"/>
    </w:p>
    <w:p w14:paraId="370BDE02">
      <w:pPr>
        <w:pStyle w:val="40"/>
        <w:ind w:firstLine="643"/>
        <w:rPr>
          <w:rFonts w:ascii="Times New Roman" w:hAnsi="Times New Roman"/>
        </w:rPr>
      </w:pPr>
      <w:bookmarkStart w:id="49" w:name="_Toc17929"/>
      <w:bookmarkStart w:id="50" w:name="_Toc70665249"/>
      <w:bookmarkStart w:id="51" w:name="_Toc42012322"/>
      <w:r>
        <w:rPr>
          <w:rFonts w:ascii="Times New Roman" w:hAnsi="Times New Roman"/>
        </w:rPr>
        <w:t>2.1总体概况</w:t>
      </w:r>
      <w:bookmarkEnd w:id="49"/>
      <w:bookmarkEnd w:id="50"/>
      <w:bookmarkEnd w:id="51"/>
    </w:p>
    <w:p w14:paraId="5D50CF09">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浙江安吉农村商业银行股份有限公司（以下简称“本行”）作为安吉地方金融主力军，一直承担着服务三农、普惠大众的社会职责，主动肩负起推动绿色金融发展的先锋重任，认真贯彻落实党中央、国务院关于构建绿色金融体系的战略部署，</w:t>
      </w:r>
      <w:r>
        <w:rPr>
          <w:rFonts w:hint="eastAsia" w:eastAsia="仿宋_GB2312"/>
          <w:color w:val="000000"/>
          <w:sz w:val="32"/>
          <w:szCs w:val="32"/>
          <w:u w:color="000000"/>
        </w:rPr>
        <w:t>聚焦金融五篇大文章</w:t>
      </w:r>
      <w:r>
        <w:rPr>
          <w:rFonts w:hint="eastAsia" w:eastAsia="仿宋_GB2312"/>
          <w:color w:val="000000"/>
          <w:sz w:val="32"/>
          <w:szCs w:val="32"/>
          <w:u w:color="000000"/>
          <w:lang w:val="zh-TW"/>
        </w:rPr>
        <w:t>，在全国率先探索“绿色金融+普惠金融”融合发展模式，</w:t>
      </w:r>
      <w:r>
        <w:rPr>
          <w:rFonts w:hint="eastAsia" w:eastAsia="仿宋_GB2312"/>
          <w:color w:val="000000"/>
          <w:sz w:val="32"/>
          <w:szCs w:val="32"/>
          <w:u w:color="000000"/>
        </w:rPr>
        <w:t>持续</w:t>
      </w:r>
      <w:r>
        <w:rPr>
          <w:rFonts w:hint="eastAsia" w:eastAsia="仿宋_GB2312"/>
          <w:color w:val="000000"/>
          <w:sz w:val="32"/>
          <w:szCs w:val="32"/>
          <w:u w:color="000000"/>
          <w:lang w:val="zh-TW"/>
        </w:rPr>
        <w:t>打造“绿色普惠标杆银行”，并充分利用“短、频、快”的决策优势，立足县域生态环境资源优势，研发绿色产品、渠道、服务，积极推进绿色金融改革创新。202</w:t>
      </w:r>
      <w:r>
        <w:rPr>
          <w:rFonts w:hint="eastAsia" w:eastAsia="仿宋_GB2312"/>
          <w:color w:val="000000"/>
          <w:sz w:val="32"/>
          <w:szCs w:val="32"/>
          <w:u w:color="000000"/>
        </w:rPr>
        <w:t>4</w:t>
      </w:r>
      <w:r>
        <w:rPr>
          <w:rFonts w:hint="eastAsia" w:eastAsia="仿宋_GB2312"/>
          <w:color w:val="000000"/>
          <w:sz w:val="32"/>
          <w:szCs w:val="32"/>
          <w:u w:color="000000"/>
          <w:lang w:val="zh-TW"/>
        </w:rPr>
        <w:t>年主要完成以下工作：</w:t>
      </w:r>
    </w:p>
    <w:p w14:paraId="00238416">
      <w:pPr>
        <w:spacing w:line="560" w:lineRule="exact"/>
        <w:ind w:firstLine="643" w:firstLineChars="200"/>
        <w:outlineLvl w:val="2"/>
        <w:rPr>
          <w:rFonts w:ascii="仿宋_GB2312" w:eastAsia="仿宋_GB2312"/>
          <w:b/>
          <w:bCs/>
          <w:sz w:val="32"/>
          <w:szCs w:val="32"/>
        </w:rPr>
      </w:pPr>
      <w:bookmarkStart w:id="52" w:name="_Toc15787"/>
      <w:r>
        <w:rPr>
          <w:rFonts w:eastAsia="楷体_GB2312"/>
          <w:b/>
          <w:sz w:val="32"/>
          <w:szCs w:val="32"/>
        </w:rPr>
        <w:t>2.1.1</w:t>
      </w:r>
      <w:bookmarkStart w:id="53" w:name="_Toc13249"/>
      <w:bookmarkStart w:id="54" w:name="_Toc10766"/>
      <w:r>
        <w:rPr>
          <w:rFonts w:hint="eastAsia" w:ascii="仿宋_GB2312" w:eastAsia="仿宋_GB2312"/>
          <w:b/>
          <w:sz w:val="32"/>
          <w:szCs w:val="32"/>
        </w:rPr>
        <w:t>加快</w:t>
      </w:r>
      <w:r>
        <w:rPr>
          <w:rFonts w:hint="eastAsia" w:ascii="仿宋_GB2312" w:eastAsia="仿宋_GB2312"/>
          <w:b/>
          <w:bCs/>
          <w:sz w:val="32"/>
          <w:szCs w:val="32"/>
        </w:rPr>
        <w:t>“碳中和”银行建设</w:t>
      </w:r>
      <w:bookmarkEnd w:id="52"/>
      <w:bookmarkEnd w:id="53"/>
    </w:p>
    <w:p w14:paraId="6D8EDE1C">
      <w:pPr>
        <w:spacing w:line="560" w:lineRule="exact"/>
        <w:ind w:firstLine="640" w:firstLineChars="200"/>
        <w:rPr>
          <w:rFonts w:hint="eastAsia" w:ascii="仿宋_GB2312" w:hAnsi="仿宋_GB2312" w:eastAsia="仿宋_GB2312" w:cs="仿宋_GB2312"/>
          <w:sz w:val="32"/>
          <w:szCs w:val="32"/>
        </w:rPr>
      </w:pPr>
      <w:bookmarkStart w:id="55" w:name="_Toc249"/>
      <w:bookmarkStart w:id="56" w:name="_Toc13128"/>
      <w:r>
        <w:rPr>
          <w:rFonts w:hint="eastAsia" w:eastAsia="仿宋_GB2312"/>
          <w:sz w:val="32"/>
          <w:szCs w:val="32"/>
        </w:rPr>
        <w:t>围绕低碳绿色发展的主线，加大对绿色、低碳、循环经济的支持，完善绿色金融机制，持续提升自身环境、社会和治理表现。以“试点先行，有序推进”的思路，通过网点改造、绿色运营、安装光伏、公益植树、购买绿证绿电等路径，推进“碳中和”网点建设。2024年12月经湖州市银行业协会审查、国家金融监督管理总局湖州监管分局审核，余村绿色支行和孝丰南门绿色支行升星成功，分别获评三星级和二星级“碳中和”网点，新增溪龙绿色支行为一星级“碳中和”网点，成为湖州市星级“碳中和”网点最多的银行机构</w:t>
      </w:r>
      <w:r>
        <w:rPr>
          <w:rFonts w:hint="eastAsia" w:ascii="仿宋_GB2312" w:hAnsi="仿宋_GB2312" w:eastAsia="仿宋_GB2312" w:cs="仿宋_GB2312"/>
          <w:sz w:val="32"/>
          <w:szCs w:val="32"/>
        </w:rPr>
        <w:t>。</w:t>
      </w:r>
      <w:bookmarkEnd w:id="55"/>
      <w:bookmarkEnd w:id="56"/>
    </w:p>
    <w:bookmarkEnd w:id="54"/>
    <w:p w14:paraId="1CEBD921">
      <w:pPr>
        <w:pStyle w:val="40"/>
        <w:ind w:firstLine="643"/>
        <w:outlineLvl w:val="2"/>
        <w:rPr>
          <w:rFonts w:hint="eastAsia" w:ascii="仿宋_GB2312" w:hAnsi="仿宋_GB2312" w:eastAsia="仿宋_GB2312" w:cs="仿宋_GB2312"/>
          <w:kern w:val="2"/>
          <w:lang w:val="en-US" w:eastAsia="zh-CN"/>
        </w:rPr>
      </w:pPr>
      <w:bookmarkStart w:id="57" w:name="_Toc25425"/>
      <w:r>
        <w:rPr>
          <w:rFonts w:ascii="Times New Roman" w:hAnsi="Times New Roman"/>
          <w:kern w:val="2"/>
          <w:lang w:val="en-US" w:eastAsia="zh-CN"/>
        </w:rPr>
        <w:t>2.1.2</w:t>
      </w:r>
      <w:r>
        <w:rPr>
          <w:rFonts w:hint="eastAsia" w:ascii="仿宋_GB2312" w:hAnsi="仿宋_GB2312" w:eastAsia="仿宋_GB2312" w:cs="仿宋_GB2312"/>
          <w:kern w:val="2"/>
          <w:lang w:val="en-US" w:eastAsia="zh-CN"/>
        </w:rPr>
        <w:t>丰富绿色产品体系</w:t>
      </w:r>
      <w:bookmarkEnd w:id="57"/>
    </w:p>
    <w:p w14:paraId="1EF579B8">
      <w:pPr>
        <w:spacing w:line="560" w:lineRule="exact"/>
        <w:ind w:firstLine="640" w:firstLineChars="200"/>
        <w:rPr>
          <w:rFonts w:eastAsia="仿宋_GB2312"/>
          <w:sz w:val="32"/>
          <w:szCs w:val="32"/>
        </w:rPr>
      </w:pPr>
      <w:bookmarkStart w:id="58" w:name="_Toc32621"/>
      <w:bookmarkStart w:id="59" w:name="_Toc22272"/>
      <w:bookmarkStart w:id="60" w:name="_Toc20535"/>
      <w:r>
        <w:rPr>
          <w:rFonts w:hint="eastAsia" w:eastAsia="仿宋_GB2312"/>
          <w:sz w:val="32"/>
          <w:szCs w:val="32"/>
        </w:rPr>
        <w:t>探索“以竹代塑”全场景金融服务，结合“两山绿币”体系，围绕竹产业振兴、绿色家居产业转型升级、消费品以旧换新行动等重点领域挖掘市场需求点，如针对与竹相关的上下游产业企业经营主体推出“竹产业振兴贷”产品，根据国家发改委《“以竹代塑”主要产品名录（2023年版）》推出“竹塑贷”，全面助力竹产业二次振兴。</w:t>
      </w:r>
    </w:p>
    <w:p w14:paraId="4A4B3A32">
      <w:pPr>
        <w:spacing w:line="560" w:lineRule="exact"/>
        <w:ind w:firstLine="640" w:firstLineChars="200"/>
        <w:rPr>
          <w:rFonts w:eastAsia="仿宋_GB2312"/>
          <w:sz w:val="32"/>
          <w:szCs w:val="32"/>
        </w:rPr>
      </w:pPr>
      <w:r>
        <w:rPr>
          <w:rFonts w:hint="eastAsia" w:eastAsia="仿宋_GB2312"/>
          <w:sz w:val="32"/>
          <w:szCs w:val="32"/>
        </w:rPr>
        <w:t>与安吉县水利局签订《“推进水生态产品价值转化”合作协议》，探索“生态产品抵（质）押+项目贷”模式，推出“水权贷”，助力解决生态产品价值实现过程中“难度量、难抵押、难交易、难变现”等问题，促进新业态增值增收</w:t>
      </w:r>
      <w:r>
        <w:rPr>
          <w:rFonts w:eastAsia="仿宋_GB2312"/>
          <w:sz w:val="32"/>
          <w:szCs w:val="32"/>
        </w:rPr>
        <w:t>。</w:t>
      </w:r>
      <w:bookmarkEnd w:id="58"/>
      <w:bookmarkEnd w:id="59"/>
    </w:p>
    <w:p w14:paraId="43046C67">
      <w:pPr>
        <w:spacing w:line="560" w:lineRule="exact"/>
        <w:ind w:firstLine="640" w:firstLineChars="200"/>
        <w:rPr>
          <w:rFonts w:eastAsia="仿宋_GB2312"/>
          <w:sz w:val="32"/>
          <w:szCs w:val="32"/>
        </w:rPr>
      </w:pPr>
      <w:r>
        <w:rPr>
          <w:rFonts w:hint="eastAsia" w:eastAsia="仿宋_GB2312"/>
          <w:sz w:val="32"/>
          <w:szCs w:val="32"/>
        </w:rPr>
        <w:t>针对生态修复项目历史遗留问题多、治理投入不足、产权关系复杂、修复成本高、回报周期长等问题，本行参照EOD模式的底层逻辑，以生态保护和环境治理为基础,以特色产业运营为支撑,以区域综合开发为载体,创新推出并全域推广“生态修复贷”，将收益较好的关联产业有效融入到生态环境治理项目中，弥补生态环境治理项目公益性较强、收益性差的缺陷，带动咖啡、溯溪、露营、餐饮等整个业态融合发展，促进产业生态化和生态产业化。</w:t>
      </w:r>
    </w:p>
    <w:bookmarkEnd w:id="60"/>
    <w:p w14:paraId="1BBF75E6">
      <w:pPr>
        <w:pStyle w:val="40"/>
        <w:ind w:firstLine="643"/>
        <w:outlineLvl w:val="2"/>
        <w:rPr>
          <w:rFonts w:eastAsia="仿宋_GB2312"/>
        </w:rPr>
      </w:pPr>
      <w:bookmarkStart w:id="61" w:name="_Toc1136"/>
      <w:r>
        <w:rPr>
          <w:rFonts w:ascii="Times New Roman" w:hAnsi="Times New Roman"/>
          <w:kern w:val="2"/>
          <w:lang w:val="en-US" w:eastAsia="zh-CN"/>
        </w:rPr>
        <w:t>2.1.</w:t>
      </w:r>
      <w:r>
        <w:rPr>
          <w:rFonts w:hint="eastAsia" w:ascii="Times New Roman" w:hAnsi="Times New Roman"/>
          <w:kern w:val="2"/>
          <w:lang w:val="en-US" w:eastAsia="zh-CN"/>
        </w:rPr>
        <w:t>3</w:t>
      </w:r>
      <w:r>
        <w:rPr>
          <w:rFonts w:ascii="Times New Roman" w:hAnsi="Times New Roman" w:eastAsia="仿宋_GB2312"/>
          <w:bCs/>
          <w:kern w:val="2"/>
          <w:lang w:val="en-US" w:eastAsia="zh-CN"/>
        </w:rPr>
        <w:t>提升自身能力建设</w:t>
      </w:r>
      <w:bookmarkEnd w:id="61"/>
    </w:p>
    <w:p w14:paraId="6C711C1B">
      <w:pPr>
        <w:spacing w:line="560" w:lineRule="exact"/>
        <w:ind w:firstLine="640" w:firstLineChars="200"/>
        <w:rPr>
          <w:rFonts w:eastAsia="仿宋_GB2312"/>
          <w:sz w:val="32"/>
          <w:szCs w:val="32"/>
        </w:rPr>
      </w:pPr>
      <w:r>
        <w:rPr>
          <w:rFonts w:hint="eastAsia" w:eastAsia="仿宋_GB2312"/>
          <w:sz w:val="32"/>
          <w:szCs w:val="32"/>
        </w:rPr>
        <w:t>参与编制的《银行机构信贷碳排放核算指引》标准被浙江省金融学会批准，与浙江农商联合银行、湖州金融学会等单位共同编制并提交《金融支持农业绿色转型指导目录》团体标准，被浙江省金融学会批准立项。同时，协助浙江农商联合银行制定并发布《浙江农商银行系统绿色金融发展五年行动计划实施方案》，将绿色金融相关经验做法推广至全省农商系统。参与中国金融学会绿色金融专业委员会绿色金融创新研究组和绿色普惠融合发展工作组；</w:t>
      </w:r>
      <w:r>
        <w:rPr>
          <w:rFonts w:hint="eastAsia" w:eastAsia="仿宋_GB2312"/>
          <w:sz w:val="32"/>
          <w:szCs w:val="32"/>
          <w:highlight w:val="none"/>
        </w:rPr>
        <w:t>牵头绿金委《基于实践的农业细分领域产业投</w:t>
      </w:r>
      <w:r>
        <w:rPr>
          <w:rFonts w:hint="eastAsia" w:eastAsia="仿宋_GB2312"/>
          <w:sz w:val="32"/>
          <w:szCs w:val="32"/>
          <w:highlight w:val="none"/>
          <w:lang w:val="en-US" w:eastAsia="zh-CN"/>
        </w:rPr>
        <w:t>向</w:t>
      </w:r>
      <w:r>
        <w:rPr>
          <w:rFonts w:hint="eastAsia" w:eastAsia="仿宋_GB2312"/>
          <w:sz w:val="32"/>
          <w:szCs w:val="32"/>
          <w:highlight w:val="none"/>
        </w:rPr>
        <w:t>深入研究》课题研究，参与中国银行业协会《绿色金融与普惠金融融合发展》、浙江省金融学会《绿色金融与普惠金融融合发展路径研究——基于全国农合机构和浙江农商银行系统实践》等课题研究。</w:t>
      </w:r>
      <w:r>
        <w:rPr>
          <w:rFonts w:hint="eastAsia" w:eastAsia="仿宋_GB2312"/>
          <w:sz w:val="32"/>
          <w:szCs w:val="32"/>
        </w:rPr>
        <w:t>按照湖州金融机构环境信息披露框架，融入《负责任银行原则》信息披露、国际可持续信息披露（ISSB）准则、转型金融信息等内容，提升环境信息披露质量。</w:t>
      </w:r>
      <w:r>
        <w:rPr>
          <w:rFonts w:hint="eastAsia" w:eastAsia="仿宋_GB2312"/>
          <w:sz w:val="32"/>
          <w:szCs w:val="32"/>
          <w:highlight w:val="none"/>
        </w:rPr>
        <w:t>4月，参加ISSB可持续披露准则先学伙伴系列研讨会，与</w:t>
      </w:r>
      <w:r>
        <w:rPr>
          <w:rFonts w:hint="eastAsia" w:eastAsia="仿宋_GB2312"/>
          <w:sz w:val="32"/>
          <w:szCs w:val="32"/>
        </w:rPr>
        <w:t>联合国环境署的顾问单位对今年的《负责任银行原则》披露工作进行探讨，形成2023年度自评估报告。开展2023年度环境信息披露和“碳中和”网点环境信息披露工作，并探索开展可持续信息披露，增强环境风险管理能力。</w:t>
      </w:r>
    </w:p>
    <w:p w14:paraId="4A502C52">
      <w:pPr>
        <w:pStyle w:val="40"/>
        <w:ind w:firstLine="643"/>
        <w:outlineLvl w:val="2"/>
        <w:rPr>
          <w:rFonts w:hint="eastAsia" w:ascii="仿宋_GB2312" w:hAnsi="仿宋_GB2312" w:eastAsia="仿宋_GB2312" w:cs="仿宋_GB2312"/>
        </w:rPr>
      </w:pPr>
      <w:bookmarkStart w:id="62" w:name="_Toc973"/>
      <w:r>
        <w:rPr>
          <w:rFonts w:hint="eastAsia" w:ascii="Times New Roman" w:hAnsi="Times New Roman"/>
          <w:kern w:val="2"/>
          <w:lang w:val="en-US" w:eastAsia="zh-CN"/>
        </w:rPr>
        <w:t>2.1.4</w:t>
      </w:r>
      <w:r>
        <w:rPr>
          <w:rFonts w:ascii="Times New Roman" w:hAnsi="Times New Roman" w:eastAsia="仿宋_GB2312"/>
          <w:bCs/>
          <w:kern w:val="2"/>
          <w:lang w:val="en-US" w:eastAsia="zh-CN"/>
        </w:rPr>
        <w:t>开展相关交流活动</w:t>
      </w:r>
      <w:bookmarkEnd w:id="62"/>
    </w:p>
    <w:p w14:paraId="00C131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以“植树节”“国际生物多样性”“全国生态日”等主题日为契机，以开展公益植树、发起联合倡议、组织培训讲座等形式，普及低碳环保知识, 配合接待国际国内机构绿色金融调研团近30批，参加各类创新案例与课题评比，获2024年度湖州市绿色金融产品服务创新案例、2024年度安吉县“微改革”优秀案例、2024年湖州市金融学会重点课题二等奖等奖项，持续擦亮绿色普惠金融品牌。</w:t>
      </w:r>
    </w:p>
    <w:p w14:paraId="0E821729">
      <w:pPr>
        <w:pStyle w:val="40"/>
        <w:ind w:firstLine="643"/>
        <w:rPr>
          <w:rFonts w:ascii="Times New Roman" w:hAnsi="Times New Roman"/>
          <w:lang w:eastAsia="zh-CN"/>
        </w:rPr>
      </w:pPr>
      <w:bookmarkStart w:id="63" w:name="_Toc70665250"/>
      <w:bookmarkStart w:id="64" w:name="_Toc21172"/>
      <w:r>
        <w:rPr>
          <w:rFonts w:ascii="Times New Roman" w:hAnsi="Times New Roman"/>
        </w:rPr>
        <w:t>2.2关键成果绩效</w:t>
      </w:r>
      <w:bookmarkEnd w:id="63"/>
      <w:bookmarkEnd w:id="64"/>
    </w:p>
    <w:p w14:paraId="2FBF35EC">
      <w:pPr>
        <w:pStyle w:val="40"/>
        <w:ind w:firstLine="643"/>
        <w:outlineLvl w:val="2"/>
        <w:rPr>
          <w:rFonts w:ascii="Times New Roman" w:hAnsi="Times New Roman"/>
          <w:kern w:val="2"/>
          <w:lang w:val="en-US" w:eastAsia="zh-CN"/>
        </w:rPr>
      </w:pPr>
      <w:bookmarkStart w:id="65" w:name="_Toc24441"/>
      <w:r>
        <w:rPr>
          <w:rFonts w:ascii="Times New Roman" w:hAnsi="Times New Roman"/>
          <w:kern w:val="2"/>
          <w:lang w:val="en-US" w:eastAsia="zh-CN"/>
        </w:rPr>
        <w:t>2.2.1</w:t>
      </w:r>
      <w:r>
        <w:rPr>
          <w:rFonts w:hint="eastAsia" w:ascii="仿宋_GB2312" w:hAnsi="Times New Roman" w:eastAsia="仿宋_GB2312"/>
          <w:kern w:val="2"/>
          <w:lang w:val="en-US" w:eastAsia="zh-CN"/>
        </w:rPr>
        <w:t>绿色金融业务情况</w:t>
      </w:r>
      <w:bookmarkEnd w:id="65"/>
    </w:p>
    <w:p w14:paraId="55845C49">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按照</w:t>
      </w:r>
      <w:r>
        <w:rPr>
          <w:rFonts w:hint="eastAsia" w:eastAsia="仿宋_GB2312"/>
          <w:sz w:val="32"/>
          <w:szCs w:val="32"/>
          <w:u w:color="000000"/>
        </w:rPr>
        <w:t>人行绿色信贷</w:t>
      </w:r>
      <w:r>
        <w:rPr>
          <w:rFonts w:eastAsia="仿宋_GB2312"/>
          <w:sz w:val="32"/>
          <w:szCs w:val="32"/>
          <w:u w:color="000000"/>
          <w:lang w:val="zh-TW"/>
        </w:rPr>
        <w:t>统计口径</w:t>
      </w:r>
      <w:r>
        <w:rPr>
          <w:rFonts w:hint="eastAsia" w:eastAsia="仿宋_GB2312"/>
          <w:sz w:val="32"/>
          <w:szCs w:val="32"/>
          <w:u w:color="000000"/>
          <w:lang w:val="zh-TW"/>
        </w:rPr>
        <w:t>，截至2024年末，</w:t>
      </w:r>
      <w:r>
        <w:rPr>
          <w:rFonts w:hint="eastAsia" w:eastAsia="仿宋_GB2312"/>
          <w:sz w:val="32"/>
          <w:szCs w:val="32"/>
          <w:u w:color="000000"/>
        </w:rPr>
        <w:t>本行</w:t>
      </w:r>
      <w:r>
        <w:rPr>
          <w:rFonts w:hint="eastAsia" w:eastAsia="仿宋_GB2312"/>
          <w:sz w:val="32"/>
          <w:szCs w:val="32"/>
          <w:u w:color="000000"/>
          <w:lang w:val="zh-TW"/>
        </w:rPr>
        <w:t>绿色信贷</w:t>
      </w:r>
      <w:r>
        <w:rPr>
          <w:rFonts w:hint="eastAsia" w:eastAsia="仿宋_GB2312"/>
          <w:sz w:val="32"/>
          <w:szCs w:val="32"/>
          <w:u w:color="000000"/>
        </w:rPr>
        <w:t>余额162.71</w:t>
      </w:r>
      <w:r>
        <w:rPr>
          <w:rFonts w:hint="eastAsia" w:eastAsia="仿宋_GB2312"/>
          <w:sz w:val="32"/>
          <w:szCs w:val="32"/>
          <w:u w:color="000000"/>
          <w:lang w:val="zh-TW"/>
        </w:rPr>
        <w:t>亿元，较年初新增</w:t>
      </w:r>
      <w:r>
        <w:rPr>
          <w:rFonts w:hint="eastAsia" w:ascii="仿宋_GB2312" w:eastAsia="仿宋_GB2312"/>
          <w:sz w:val="32"/>
          <w:szCs w:val="32"/>
        </w:rPr>
        <w:t>19.96</w:t>
      </w:r>
      <w:r>
        <w:rPr>
          <w:rFonts w:hint="eastAsia" w:eastAsia="仿宋_GB2312"/>
          <w:sz w:val="32"/>
          <w:szCs w:val="32"/>
          <w:u w:color="000000"/>
          <w:lang w:val="zh-TW"/>
        </w:rPr>
        <w:t>亿元，占比所有贷款33.0</w:t>
      </w:r>
      <w:r>
        <w:rPr>
          <w:rFonts w:hint="eastAsia" w:eastAsia="仿宋_GB2312"/>
          <w:sz w:val="32"/>
          <w:szCs w:val="32"/>
          <w:u w:color="000000"/>
        </w:rPr>
        <w:t>1</w:t>
      </w:r>
      <w:r>
        <w:rPr>
          <w:rFonts w:hint="eastAsia" w:eastAsia="仿宋_GB2312"/>
          <w:sz w:val="32"/>
          <w:szCs w:val="32"/>
          <w:u w:color="000000"/>
          <w:lang w:val="zh-TW"/>
        </w:rPr>
        <w:t>%；累计发行绿色金融债券4亿元；通过绿贷通平台完成企业授信8752户，授信金额达469.89亿元。全省178家法人银行业存款类金融机构绿色信贷业绩评价持续位居前列，连续七年获评湖州市绿色银行“BBB”级（全市参评银行机构最高评级）、湖州市国家绿色金融改革创新试验区建设优秀单位</w:t>
      </w:r>
      <w:r>
        <w:rPr>
          <w:rFonts w:eastAsia="仿宋_GB2312"/>
          <w:sz w:val="32"/>
          <w:szCs w:val="32"/>
          <w:u w:color="000000"/>
          <w:lang w:val="zh-TW"/>
        </w:rPr>
        <w:t>。</w:t>
      </w:r>
    </w:p>
    <w:p w14:paraId="51D551E5">
      <w:pPr>
        <w:pStyle w:val="40"/>
        <w:ind w:firstLine="643"/>
        <w:outlineLvl w:val="2"/>
        <w:rPr>
          <w:rFonts w:ascii="仿宋_GB2312" w:hAnsi="Times New Roman" w:eastAsia="仿宋_GB2312"/>
          <w:kern w:val="2"/>
          <w:lang w:val="en-US" w:eastAsia="zh-CN"/>
        </w:rPr>
      </w:pPr>
      <w:bookmarkStart w:id="66" w:name="_Toc27506"/>
      <w:r>
        <w:rPr>
          <w:rFonts w:ascii="Times New Roman" w:hAnsi="Times New Roman"/>
          <w:kern w:val="2"/>
          <w:lang w:val="en-US" w:eastAsia="zh-CN"/>
        </w:rPr>
        <w:t>2.2.2</w:t>
      </w:r>
      <w:r>
        <w:rPr>
          <w:rFonts w:hint="eastAsia" w:ascii="仿宋_GB2312" w:hAnsi="Times New Roman" w:eastAsia="仿宋_GB2312"/>
          <w:kern w:val="2"/>
          <w:lang w:val="en-US" w:eastAsia="zh-CN"/>
        </w:rPr>
        <w:t>绿色办公运营情况</w:t>
      </w:r>
      <w:bookmarkEnd w:id="66"/>
    </w:p>
    <w:p w14:paraId="7FB3999A">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本行积</w:t>
      </w:r>
      <w:r>
        <w:rPr>
          <w:rFonts w:ascii="仿宋_GB2312" w:hAnsi="仿宋_GB2312" w:eastAsia="仿宋_GB2312" w:cs="仿宋_GB2312"/>
          <w:sz w:val="32"/>
          <w:szCs w:val="32"/>
          <w:lang w:val="zh-TW"/>
        </w:rPr>
        <w:t>极开展“碳中和”银行绿色办公实践，从“员工低碳办公常态化”“低碳出行节能降耗”“落实垃圾分类”“推进减纸化办公”“定期公布能耗数据”等方面开展绿色运营碳足迹管理</w:t>
      </w:r>
      <w:r>
        <w:rPr>
          <w:rFonts w:eastAsia="仿宋_GB2312"/>
          <w:sz w:val="32"/>
          <w:szCs w:val="32"/>
          <w:u w:color="000000"/>
          <w:lang w:val="zh-TW"/>
        </w:rPr>
        <w:t>。</w:t>
      </w:r>
    </w:p>
    <w:p w14:paraId="281899DD">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截至</w:t>
      </w:r>
      <w:r>
        <w:rPr>
          <w:rFonts w:hint="eastAsia" w:eastAsia="仿宋_GB2312"/>
          <w:sz w:val="32"/>
          <w:szCs w:val="32"/>
          <w:u w:color="000000"/>
        </w:rPr>
        <w:t>2024年</w:t>
      </w:r>
      <w:r>
        <w:rPr>
          <w:rFonts w:hint="eastAsia" w:eastAsia="仿宋_GB2312"/>
          <w:sz w:val="32"/>
          <w:szCs w:val="32"/>
          <w:u w:color="000000"/>
          <w:lang w:val="zh-TW"/>
        </w:rPr>
        <w:t>12</w:t>
      </w:r>
      <w:r>
        <w:rPr>
          <w:rFonts w:eastAsia="仿宋_GB2312"/>
          <w:sz w:val="32"/>
          <w:szCs w:val="32"/>
          <w:u w:color="000000"/>
          <w:lang w:val="zh-TW"/>
        </w:rPr>
        <w:t>月末，本行自有交通运输工具所消耗的燃油</w:t>
      </w:r>
      <w:r>
        <w:rPr>
          <w:rFonts w:hint="eastAsia" w:eastAsia="仿宋_GB2312"/>
          <w:sz w:val="32"/>
          <w:szCs w:val="32"/>
          <w:u w:color="000000"/>
        </w:rPr>
        <w:t>8513</w:t>
      </w:r>
      <w:r>
        <w:rPr>
          <w:rFonts w:eastAsia="仿宋_GB2312"/>
          <w:sz w:val="32"/>
          <w:szCs w:val="32"/>
          <w:u w:color="000000"/>
          <w:lang w:val="zh-TW"/>
        </w:rPr>
        <w:t>升；营业、办公活动所消耗的纸张</w:t>
      </w:r>
      <w:r>
        <w:rPr>
          <w:rFonts w:hint="eastAsia" w:eastAsia="仿宋_GB2312"/>
          <w:sz w:val="32"/>
          <w:szCs w:val="32"/>
          <w:u w:color="000000"/>
          <w:lang w:val="zh-TW"/>
        </w:rPr>
        <w:t>6.</w:t>
      </w:r>
      <w:r>
        <w:rPr>
          <w:rFonts w:hint="eastAsia" w:eastAsia="仿宋_GB2312"/>
          <w:sz w:val="32"/>
          <w:szCs w:val="32"/>
          <w:u w:color="000000"/>
        </w:rPr>
        <w:t>25</w:t>
      </w:r>
      <w:r>
        <w:rPr>
          <w:rFonts w:eastAsia="仿宋_GB2312"/>
          <w:sz w:val="32"/>
          <w:szCs w:val="32"/>
          <w:u w:color="000000"/>
          <w:lang w:val="zh-TW"/>
        </w:rPr>
        <w:t>吨；营业、办公活动所消耗的水</w:t>
      </w:r>
      <w:r>
        <w:rPr>
          <w:rFonts w:hint="eastAsia" w:eastAsia="仿宋_GB2312"/>
          <w:sz w:val="32"/>
          <w:szCs w:val="32"/>
          <w:u w:color="000000"/>
        </w:rPr>
        <w:t>31999.27</w:t>
      </w:r>
      <w:r>
        <w:rPr>
          <w:rFonts w:eastAsia="仿宋_GB2312"/>
          <w:sz w:val="32"/>
          <w:szCs w:val="32"/>
          <w:u w:color="000000"/>
          <w:lang w:val="zh-TW"/>
        </w:rPr>
        <w:t>吨；营业、办公活动所消耗的电力</w:t>
      </w:r>
      <w:r>
        <w:rPr>
          <w:rFonts w:hint="eastAsia" w:eastAsia="仿宋_GB2312"/>
          <w:sz w:val="32"/>
          <w:szCs w:val="32"/>
          <w:u w:color="000000"/>
        </w:rPr>
        <w:t>5255829.54</w:t>
      </w:r>
      <w:r>
        <w:rPr>
          <w:rFonts w:eastAsia="仿宋_GB2312"/>
          <w:sz w:val="32"/>
          <w:szCs w:val="32"/>
          <w:u w:color="000000"/>
          <w:lang w:val="zh-TW"/>
        </w:rPr>
        <w:t>千瓦时。</w:t>
      </w:r>
    </w:p>
    <w:p w14:paraId="52D382EF">
      <w:pPr>
        <w:pStyle w:val="40"/>
        <w:ind w:firstLine="643"/>
        <w:rPr>
          <w:rFonts w:ascii="Times New Roman" w:hAnsi="Times New Roman"/>
        </w:rPr>
      </w:pPr>
      <w:bookmarkStart w:id="67" w:name="_Toc5278"/>
      <w:bookmarkStart w:id="68" w:name="_Toc42012327"/>
      <w:bookmarkStart w:id="69" w:name="_Toc70665251"/>
      <w:r>
        <w:rPr>
          <w:rFonts w:ascii="Times New Roman" w:hAnsi="Times New Roman"/>
        </w:rPr>
        <w:t>2.3规划与目标</w:t>
      </w:r>
      <w:bookmarkEnd w:id="67"/>
      <w:bookmarkEnd w:id="68"/>
      <w:bookmarkEnd w:id="69"/>
    </w:p>
    <w:p w14:paraId="1752E7E3">
      <w:pPr>
        <w:spacing w:line="560" w:lineRule="exact"/>
        <w:ind w:firstLine="640" w:firstLineChars="200"/>
        <w:rPr>
          <w:rFonts w:eastAsia="楷体_GB2312"/>
          <w:sz w:val="32"/>
          <w:szCs w:val="32"/>
          <w:u w:color="000000"/>
          <w:lang w:val="zh-TW"/>
        </w:rPr>
      </w:pPr>
      <w:r>
        <w:rPr>
          <w:rFonts w:hint="eastAsia" w:eastAsia="仿宋_GB2312"/>
          <w:sz w:val="32"/>
          <w:szCs w:val="32"/>
          <w:u w:color="000000"/>
        </w:rPr>
        <w:t>本</w:t>
      </w:r>
      <w:r>
        <w:rPr>
          <w:rFonts w:hint="eastAsia" w:ascii="仿宋_GB2312" w:hAnsi="仿宋_GB2312" w:eastAsia="仿宋_GB2312" w:cs="仿宋_GB2312"/>
          <w:sz w:val="32"/>
          <w:szCs w:val="32"/>
        </w:rPr>
        <w:t>行</w:t>
      </w:r>
      <w:r>
        <w:rPr>
          <w:rFonts w:ascii="仿宋_GB2312" w:hAnsi="仿宋_GB2312" w:eastAsia="仿宋_GB2312" w:cs="仿宋_GB2312"/>
          <w:sz w:val="32"/>
          <w:szCs w:val="32"/>
          <w:lang w:val="zh-TW"/>
        </w:rPr>
        <w:t>围绕国家“双碳”目标，贯彻落实党中央、国务院和国家金融监督管理总局关于生态文明建设和绿色低碳发展相关要求</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结合安吉县域绿色发展特色，</w:t>
      </w:r>
      <w:r>
        <w:rPr>
          <w:rFonts w:hint="eastAsia" w:ascii="仿宋_GB2312" w:hAnsi="仿宋_GB2312" w:eastAsia="仿宋_GB2312" w:cs="仿宋_GB2312"/>
          <w:sz w:val="32"/>
          <w:szCs w:val="32"/>
        </w:rPr>
        <w:t>融入</w:t>
      </w:r>
      <w:r>
        <w:rPr>
          <w:rFonts w:ascii="仿宋_GB2312" w:hAnsi="仿宋_GB2312" w:eastAsia="仿宋_GB2312" w:cs="仿宋_GB2312"/>
          <w:sz w:val="32"/>
          <w:szCs w:val="32"/>
          <w:lang w:val="zh-TW"/>
        </w:rPr>
        <w:t>《负责任银行原则》</w:t>
      </w:r>
      <w:r>
        <w:rPr>
          <w:rFonts w:hint="eastAsia" w:ascii="仿宋_GB2312" w:hAnsi="仿宋_GB2312" w:eastAsia="仿宋_GB2312" w:cs="仿宋_GB2312"/>
          <w:sz w:val="32"/>
          <w:szCs w:val="32"/>
        </w:rPr>
        <w:t>先进理念</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持续推进</w:t>
      </w:r>
      <w:r>
        <w:rPr>
          <w:rFonts w:ascii="仿宋_GB2312" w:hAnsi="仿宋_GB2312" w:eastAsia="仿宋_GB2312" w:cs="仿宋_GB2312"/>
          <w:sz w:val="32"/>
          <w:szCs w:val="32"/>
          <w:lang w:val="zh-TW"/>
        </w:rPr>
        <w:t>“碳中和”银行</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lang w:val="zh-TW"/>
        </w:rPr>
        <w:t>，</w:t>
      </w:r>
      <w:r>
        <w:rPr>
          <w:rFonts w:hint="eastAsia" w:ascii="仿宋_GB2312" w:hAnsi="仿宋_GB2312" w:eastAsia="仿宋_GB2312" w:cs="仿宋_GB2312"/>
          <w:sz w:val="32"/>
          <w:szCs w:val="32"/>
        </w:rPr>
        <w:t>奋力</w:t>
      </w:r>
      <w:r>
        <w:rPr>
          <w:rFonts w:ascii="仿宋_GB2312" w:hAnsi="仿宋_GB2312" w:eastAsia="仿宋_GB2312" w:cs="仿宋_GB2312"/>
          <w:sz w:val="32"/>
          <w:szCs w:val="32"/>
          <w:lang w:val="zh-TW"/>
        </w:rPr>
        <w:t>打造</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绿色普惠标杆银行</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在组织机制、管理体系、服务水平、能力建设、社会治理等方面不断做出有益探索，</w:t>
      </w:r>
      <w:r>
        <w:rPr>
          <w:rFonts w:hint="eastAsia" w:ascii="仿宋_GB2312" w:hAnsi="仿宋_GB2312" w:eastAsia="仿宋_GB2312" w:cs="仿宋_GB2312"/>
          <w:sz w:val="32"/>
          <w:szCs w:val="32"/>
        </w:rPr>
        <w:t>助力</w:t>
      </w:r>
      <w:r>
        <w:rPr>
          <w:rFonts w:ascii="仿宋_GB2312" w:hAnsi="仿宋_GB2312" w:eastAsia="仿宋_GB2312" w:cs="仿宋_GB2312"/>
          <w:sz w:val="32"/>
          <w:szCs w:val="32"/>
          <w:lang w:val="zh-TW"/>
        </w:rPr>
        <w:t>地方经济社会绿色</w:t>
      </w:r>
      <w:r>
        <w:rPr>
          <w:rFonts w:eastAsia="仿宋_GB2312"/>
          <w:sz w:val="32"/>
          <w:szCs w:val="32"/>
          <w:u w:color="000000"/>
        </w:rPr>
        <w:t>低碳发展</w:t>
      </w:r>
      <w:r>
        <w:rPr>
          <w:rFonts w:eastAsia="仿宋_GB2312"/>
          <w:sz w:val="32"/>
          <w:szCs w:val="32"/>
          <w:u w:color="000000"/>
          <w:lang w:val="zh-TW"/>
        </w:rPr>
        <w:t>。</w:t>
      </w:r>
    </w:p>
    <w:p w14:paraId="6296B9DE">
      <w:pPr>
        <w:pStyle w:val="40"/>
        <w:ind w:firstLine="643"/>
        <w:outlineLvl w:val="2"/>
        <w:rPr>
          <w:rFonts w:ascii="仿宋_GB2312" w:hAnsi="Times New Roman" w:eastAsia="仿宋_GB2312"/>
          <w:lang w:eastAsia="zh-CN"/>
        </w:rPr>
      </w:pPr>
      <w:bookmarkStart w:id="70" w:name="_Toc42012328"/>
      <w:bookmarkStart w:id="71" w:name="_Toc17923"/>
      <w:r>
        <w:rPr>
          <w:rFonts w:ascii="Times New Roman" w:hAnsi="Times New Roman"/>
          <w:lang w:eastAsia="zh-CN"/>
        </w:rPr>
        <w:t>2.</w:t>
      </w:r>
      <w:r>
        <w:rPr>
          <w:rFonts w:ascii="Times New Roman" w:hAnsi="Times New Roman"/>
        </w:rPr>
        <w:t>3.1</w:t>
      </w:r>
      <w:bookmarkEnd w:id="70"/>
      <w:r>
        <w:rPr>
          <w:rFonts w:hint="eastAsia" w:ascii="仿宋_GB2312" w:hAnsi="Times New Roman" w:eastAsia="仿宋_GB2312"/>
          <w:lang w:eastAsia="zh-CN"/>
        </w:rPr>
        <w:t>经营目标</w:t>
      </w:r>
      <w:bookmarkEnd w:id="71"/>
    </w:p>
    <w:p w14:paraId="4B6561A6">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按照上级部门要求、结合本行自身实际，以完善</w:t>
      </w:r>
      <w:r>
        <w:rPr>
          <w:rFonts w:eastAsia="仿宋_GB2312"/>
          <w:sz w:val="32"/>
          <w:szCs w:val="32"/>
          <w:u w:color="000000"/>
        </w:rPr>
        <w:t>组织</w:t>
      </w:r>
      <w:r>
        <w:rPr>
          <w:rFonts w:eastAsia="仿宋_GB2312"/>
          <w:sz w:val="32"/>
          <w:szCs w:val="32"/>
          <w:u w:color="000000"/>
          <w:lang w:val="zh-TW"/>
        </w:rPr>
        <w:t>机制</w:t>
      </w:r>
      <w:r>
        <w:rPr>
          <w:rFonts w:eastAsia="仿宋_GB2312"/>
          <w:sz w:val="32"/>
          <w:szCs w:val="32"/>
          <w:u w:color="000000"/>
        </w:rPr>
        <w:t>为</w:t>
      </w:r>
      <w:r>
        <w:rPr>
          <w:rFonts w:eastAsia="仿宋_GB2312"/>
          <w:sz w:val="32"/>
          <w:szCs w:val="32"/>
          <w:u w:color="000000"/>
          <w:lang w:val="zh-TW"/>
        </w:rPr>
        <w:t>保障，以跟踪对接县域重点绿色项目、绿色企业、绿色产业为抓手，以</w:t>
      </w:r>
      <w:r>
        <w:rPr>
          <w:rFonts w:eastAsia="仿宋_GB2312"/>
          <w:sz w:val="32"/>
          <w:szCs w:val="32"/>
          <w:u w:color="000000"/>
        </w:rPr>
        <w:t>加大绿色金融</w:t>
      </w:r>
      <w:r>
        <w:rPr>
          <w:rFonts w:eastAsia="仿宋_GB2312"/>
          <w:sz w:val="32"/>
          <w:szCs w:val="32"/>
          <w:u w:color="000000"/>
          <w:lang w:val="zh-TW"/>
        </w:rPr>
        <w:t>产品服务创新</w:t>
      </w:r>
      <w:r>
        <w:rPr>
          <w:rFonts w:eastAsia="仿宋_GB2312"/>
          <w:sz w:val="32"/>
          <w:szCs w:val="32"/>
          <w:u w:color="000000"/>
        </w:rPr>
        <w:t>力度</w:t>
      </w:r>
      <w:r>
        <w:rPr>
          <w:rFonts w:eastAsia="仿宋_GB2312"/>
          <w:sz w:val="32"/>
          <w:szCs w:val="32"/>
          <w:u w:color="000000"/>
          <w:lang w:val="zh-TW"/>
        </w:rPr>
        <w:t>为动力，多维度、多渠道满足县域绿色</w:t>
      </w:r>
      <w:r>
        <w:rPr>
          <w:rFonts w:hint="eastAsia" w:eastAsia="仿宋_GB2312"/>
          <w:sz w:val="32"/>
          <w:szCs w:val="32"/>
          <w:u w:color="000000"/>
        </w:rPr>
        <w:t>发展和低碳转型</w:t>
      </w:r>
      <w:r>
        <w:rPr>
          <w:rFonts w:eastAsia="仿宋_GB2312"/>
          <w:sz w:val="32"/>
          <w:szCs w:val="32"/>
          <w:u w:color="000000"/>
          <w:lang w:val="zh-TW"/>
        </w:rPr>
        <w:t>需求，确保绿色信贷增速高于全部贷款增速。</w:t>
      </w:r>
    </w:p>
    <w:p w14:paraId="0B5FFBA5">
      <w:pPr>
        <w:pStyle w:val="40"/>
        <w:ind w:firstLine="643"/>
        <w:outlineLvl w:val="2"/>
        <w:rPr>
          <w:rFonts w:ascii="Times New Roman" w:hAnsi="Times New Roman"/>
          <w:lang w:eastAsia="zh-CN"/>
        </w:rPr>
      </w:pPr>
      <w:bookmarkStart w:id="72" w:name="_Toc42012329"/>
      <w:bookmarkStart w:id="73" w:name="_Toc11911"/>
      <w:r>
        <w:rPr>
          <w:rFonts w:ascii="Times New Roman" w:hAnsi="Times New Roman"/>
          <w:lang w:eastAsia="zh-CN"/>
        </w:rPr>
        <w:t>2.</w:t>
      </w:r>
      <w:r>
        <w:rPr>
          <w:rFonts w:ascii="Times New Roman" w:hAnsi="Times New Roman"/>
        </w:rPr>
        <w:t>3.2</w:t>
      </w:r>
      <w:bookmarkEnd w:id="72"/>
      <w:r>
        <w:rPr>
          <w:rFonts w:ascii="仿宋_GB2312" w:hAnsi="Times New Roman" w:eastAsia="仿宋_GB2312"/>
          <w:lang w:eastAsia="zh-CN"/>
        </w:rPr>
        <w:t>运营目标</w:t>
      </w:r>
      <w:bookmarkEnd w:id="73"/>
    </w:p>
    <w:p w14:paraId="7C45905A">
      <w:pPr>
        <w:spacing w:line="560" w:lineRule="exact"/>
        <w:ind w:firstLine="640" w:firstLineChars="200"/>
        <w:rPr>
          <w:rFonts w:eastAsia="仿宋_GB2312"/>
          <w:sz w:val="32"/>
          <w:szCs w:val="32"/>
          <w:u w:color="000000"/>
          <w:lang w:val="zh-TW"/>
        </w:rPr>
      </w:pPr>
      <w:r>
        <w:rPr>
          <w:rFonts w:eastAsia="仿宋_GB2312"/>
          <w:sz w:val="32"/>
          <w:szCs w:val="32"/>
          <w:u w:color="000000"/>
        </w:rPr>
        <w:t>增</w:t>
      </w:r>
      <w:r>
        <w:rPr>
          <w:rFonts w:ascii="仿宋_GB2312" w:hAnsi="仿宋_GB2312" w:eastAsia="仿宋_GB2312" w:cs="仿宋_GB2312"/>
          <w:sz w:val="32"/>
          <w:szCs w:val="32"/>
          <w:lang w:val="zh-TW"/>
        </w:rPr>
        <w:t>强全行干部员工绿色发展意识，倡导“绿色低碳”理念，以“节能降耗”为中心，在理念培植、文化建设、流程改造、日常考核等方面精准发力，完善自身碳排放管理，从“员工低碳办公常态化”等方面开展绿色运营碳足迹管理，全面推动绿色企业文化建设落地，实现高效率、低能耗的</w:t>
      </w:r>
      <w:r>
        <w:rPr>
          <w:rFonts w:eastAsia="仿宋_GB2312"/>
          <w:sz w:val="32"/>
          <w:szCs w:val="32"/>
        </w:rPr>
        <w:t>绿色运营</w:t>
      </w:r>
      <w:r>
        <w:rPr>
          <w:rFonts w:eastAsia="仿宋_GB2312"/>
          <w:sz w:val="32"/>
          <w:szCs w:val="32"/>
          <w:u w:color="000000"/>
          <w:lang w:val="zh-TW"/>
        </w:rPr>
        <w:t>。</w:t>
      </w:r>
    </w:p>
    <w:p w14:paraId="13BFBB5E">
      <w:pPr>
        <w:pStyle w:val="2"/>
        <w:ind w:firstLine="640"/>
        <w:rPr>
          <w:rFonts w:ascii="Times New Roman" w:hAnsi="Times New Roman"/>
          <w:color w:val="000000"/>
          <w:u w:color="000000"/>
          <w:lang w:val="en-US"/>
        </w:rPr>
      </w:pPr>
      <w:bookmarkStart w:id="74" w:name="_Toc13460"/>
      <w:bookmarkStart w:id="75" w:name="_Toc70665252"/>
      <w:bookmarkStart w:id="76" w:name="_Toc23339686"/>
      <w:bookmarkStart w:id="77" w:name="_Toc23339948"/>
      <w:r>
        <w:rPr>
          <w:rFonts w:ascii="Times New Roman" w:hAnsi="Times New Roman"/>
          <w:color w:val="000000"/>
          <w:u w:color="000000"/>
          <w:lang w:val="en-US"/>
        </w:rPr>
        <w:t>3环境相关治理结构</w:t>
      </w:r>
      <w:bookmarkEnd w:id="74"/>
      <w:bookmarkEnd w:id="75"/>
    </w:p>
    <w:p w14:paraId="3D83C390">
      <w:pPr>
        <w:pStyle w:val="40"/>
        <w:ind w:firstLine="643"/>
        <w:rPr>
          <w:rFonts w:ascii="Times New Roman" w:hAnsi="Times New Roman"/>
          <w:lang w:eastAsia="zh-CN"/>
        </w:rPr>
      </w:pPr>
      <w:bookmarkStart w:id="78" w:name="_Toc70665253"/>
      <w:bookmarkStart w:id="79" w:name="_Toc653"/>
      <w:r>
        <w:rPr>
          <w:rFonts w:ascii="Times New Roman" w:hAnsi="Times New Roman"/>
        </w:rPr>
        <w:t>3.1董事会层面环境方面的职责设置</w:t>
      </w:r>
      <w:bookmarkEnd w:id="78"/>
      <w:bookmarkEnd w:id="79"/>
    </w:p>
    <w:p w14:paraId="02F250EB">
      <w:pPr>
        <w:spacing w:line="560" w:lineRule="exact"/>
        <w:ind w:firstLine="640" w:firstLineChars="200"/>
        <w:rPr>
          <w:rFonts w:eastAsia="仿宋_GB2312"/>
          <w:sz w:val="32"/>
          <w:szCs w:val="32"/>
        </w:rPr>
      </w:pPr>
      <w:r>
        <w:rPr>
          <w:rFonts w:hint="eastAsia" w:eastAsia="仿宋_GB2312"/>
          <w:sz w:val="32"/>
          <w:szCs w:val="32"/>
          <w:u w:color="000000"/>
          <w:lang w:val="zh-TW"/>
        </w:rPr>
        <w:t>董事会层面设立（三农 绿色金融）战略委员会</w:t>
      </w:r>
      <w:r>
        <w:rPr>
          <w:rFonts w:ascii="仿宋_GB2312" w:hAnsi="仿宋_GB2312" w:eastAsia="仿宋_GB2312" w:cs="仿宋_GB2312"/>
          <w:sz w:val="32"/>
          <w:szCs w:val="32"/>
          <w:lang w:val="zh-TW"/>
        </w:rPr>
        <w:t>，作为绿色金融相关工作组织决策机构，研究全行绿色金融发展战略，着力发展以人为核心的全方位普惠金融，打造</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绿色普惠标杆银行</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，并将绿色普惠目标写入“十四五”规划。每年董事会讨论审议上年度绿色金融发展</w:t>
      </w:r>
      <w:r>
        <w:rPr>
          <w:rFonts w:eastAsia="仿宋_GB2312"/>
          <w:sz w:val="32"/>
          <w:szCs w:val="32"/>
          <w:u w:color="000000"/>
          <w:lang w:val="zh-TW"/>
        </w:rPr>
        <w:t>报告。</w:t>
      </w:r>
    </w:p>
    <w:p w14:paraId="2517068A">
      <w:pPr>
        <w:pStyle w:val="40"/>
        <w:ind w:firstLine="643"/>
        <w:rPr>
          <w:rFonts w:ascii="Times New Roman" w:hAnsi="Times New Roman"/>
        </w:rPr>
      </w:pPr>
      <w:bookmarkStart w:id="80" w:name="_Toc70665254"/>
      <w:bookmarkStart w:id="81" w:name="_Toc23412"/>
      <w:r>
        <w:rPr>
          <w:rFonts w:ascii="Times New Roman" w:hAnsi="Times New Roman"/>
        </w:rPr>
        <w:t>3.2董事会层面以下环境方面的职责设置</w:t>
      </w:r>
      <w:bookmarkEnd w:id="80"/>
      <w:bookmarkEnd w:id="81"/>
    </w:p>
    <w:p w14:paraId="7F629454">
      <w:pPr>
        <w:pStyle w:val="40"/>
        <w:ind w:firstLine="643"/>
        <w:outlineLvl w:val="2"/>
        <w:rPr>
          <w:rFonts w:ascii="仿宋_GB2312" w:hAnsi="Times New Roman" w:eastAsia="仿宋_GB2312"/>
          <w:lang w:eastAsia="zh-CN"/>
        </w:rPr>
      </w:pPr>
      <w:bookmarkStart w:id="82" w:name="_Toc7864"/>
      <w:r>
        <w:rPr>
          <w:rFonts w:ascii="Times New Roman" w:hAnsi="Times New Roman"/>
          <w:lang w:eastAsia="zh-CN"/>
        </w:rPr>
        <w:t>3.2.1</w:t>
      </w:r>
      <w:r>
        <w:rPr>
          <w:rFonts w:hint="eastAsia" w:ascii="仿宋_GB2312" w:hAnsi="Times New Roman" w:eastAsia="仿宋_GB2312"/>
          <w:lang w:eastAsia="zh-CN"/>
        </w:rPr>
        <w:t>成立绿色金融事业部</w:t>
      </w:r>
      <w:bookmarkEnd w:id="82"/>
    </w:p>
    <w:p w14:paraId="03E15434">
      <w:pPr>
        <w:pStyle w:val="37"/>
        <w:spacing w:line="560" w:lineRule="exact"/>
        <w:ind w:left="0" w:firstLine="640" w:firstLineChars="200"/>
        <w:outlineLvl w:val="9"/>
        <w:rPr>
          <w:rFonts w:ascii="Times New Roman" w:eastAsia="仿宋_GB2312"/>
          <w:kern w:val="2"/>
          <w:sz w:val="32"/>
          <w:szCs w:val="32"/>
          <w:u w:color="000000"/>
          <w:lang w:val="zh-TW"/>
        </w:rPr>
      </w:pPr>
      <w:r>
        <w:rPr>
          <w:rFonts w:ascii="Times New Roman" w:eastAsia="仿宋_GB2312"/>
          <w:kern w:val="2"/>
          <w:sz w:val="32"/>
          <w:szCs w:val="32"/>
          <w:u w:color="000000"/>
          <w:lang w:val="zh-TW"/>
        </w:rPr>
        <w:t>本行在高级管理层下设创新工作专业委员会，作为全行绿色金融产品及</w:t>
      </w:r>
      <w:r>
        <w:rPr>
          <w:rFonts w:ascii="仿宋_GB2312" w:hAnsi="仿宋_GB2312" w:eastAsia="仿宋_GB2312" w:cs="仿宋_GB2312"/>
          <w:kern w:val="2"/>
          <w:sz w:val="32"/>
          <w:szCs w:val="32"/>
          <w:lang w:val="zh-TW"/>
        </w:rPr>
        <w:t>服务创新的研发、推动和协调机构，同时成立全国首</w:t>
      </w:r>
      <w:r>
        <w:rPr>
          <w:rFonts w:hint="eastAsia" w:ascii="仿宋_GB2312" w:hAnsi="仿宋_GB2312" w:eastAsia="仿宋_GB2312" w:cs="仿宋_GB2312"/>
          <w:kern w:val="2"/>
          <w:sz w:val="32"/>
          <w:szCs w:val="32"/>
          <w:lang w:val="zh-TW"/>
        </w:rPr>
        <w:t>个</w:t>
      </w:r>
      <w:r>
        <w:rPr>
          <w:rFonts w:ascii="仿宋_GB2312" w:hAnsi="仿宋_GB2312" w:eastAsia="仿宋_GB2312" w:cs="仿宋_GB2312"/>
          <w:kern w:val="2"/>
          <w:sz w:val="32"/>
          <w:szCs w:val="32"/>
          <w:lang w:val="zh-TW"/>
        </w:rPr>
        <w:t>小法人机构“绿色金融事业部”，作为绿色金融创新工作的组织实施部门，</w:t>
      </w:r>
      <w:r>
        <w:rPr>
          <w:rFonts w:hint="eastAsia" w:ascii="仿宋_GB2312" w:hAnsi="仿宋_GB2312" w:eastAsia="仿宋_GB2312" w:cs="仿宋_GB2312"/>
          <w:kern w:val="2"/>
          <w:sz w:val="32"/>
          <w:szCs w:val="32"/>
          <w:lang w:val="zh-TW"/>
        </w:rPr>
        <w:t>持续</w:t>
      </w:r>
      <w:r>
        <w:rPr>
          <w:rFonts w:ascii="仿宋_GB2312" w:hAnsi="仿宋_GB2312" w:eastAsia="仿宋_GB2312" w:cs="仿宋_GB2312"/>
          <w:kern w:val="2"/>
          <w:sz w:val="32"/>
          <w:szCs w:val="32"/>
          <w:lang w:val="zh-TW"/>
        </w:rPr>
        <w:t>完善绿色金融组织架构，形成发展绿色普惠金融组织保</w:t>
      </w:r>
      <w:r>
        <w:rPr>
          <w:rFonts w:ascii="Times New Roman" w:eastAsia="仿宋_GB2312"/>
          <w:kern w:val="2"/>
          <w:sz w:val="32"/>
          <w:szCs w:val="32"/>
          <w:u w:color="000000"/>
          <w:lang w:val="zh-TW"/>
        </w:rPr>
        <w:t>障。</w:t>
      </w:r>
    </w:p>
    <w:p w14:paraId="766801C4">
      <w:pPr>
        <w:pStyle w:val="40"/>
        <w:ind w:firstLine="643"/>
        <w:outlineLvl w:val="2"/>
        <w:rPr>
          <w:rFonts w:ascii="仿宋_GB2312" w:hAnsi="Times New Roman" w:eastAsia="仿宋_GB2312"/>
          <w:lang w:eastAsia="zh-CN"/>
        </w:rPr>
      </w:pPr>
      <w:bookmarkStart w:id="83" w:name="_Toc26549"/>
      <w:r>
        <w:rPr>
          <w:rFonts w:ascii="Times New Roman" w:hAnsi="Times New Roman"/>
          <w:lang w:eastAsia="zh-CN"/>
        </w:rPr>
        <w:t>3.2.2</w:t>
      </w:r>
      <w:r>
        <w:rPr>
          <w:rFonts w:hint="eastAsia" w:ascii="仿宋_GB2312" w:hAnsi="Times New Roman" w:eastAsia="仿宋_GB2312"/>
          <w:lang w:eastAsia="zh-CN"/>
        </w:rPr>
        <w:t>创建绿色支行</w:t>
      </w:r>
      <w:bookmarkEnd w:id="83"/>
    </w:p>
    <w:p w14:paraId="0F18A2DC">
      <w:pPr>
        <w:pStyle w:val="40"/>
        <w:ind w:firstLine="640"/>
        <w:outlineLvl w:val="9"/>
        <w:rPr>
          <w:rFonts w:ascii="Times New Roman" w:hAnsi="Times New Roman" w:eastAsia="仿宋_GB2312"/>
          <w:kern w:val="2"/>
        </w:rPr>
      </w:pPr>
      <w:bookmarkStart w:id="84" w:name="_Toc32692"/>
      <w:bookmarkStart w:id="85" w:name="_Toc27869"/>
      <w:r>
        <w:rPr>
          <w:rFonts w:ascii="Times New Roman" w:hAnsi="Times New Roman" w:eastAsia="仿宋_GB2312"/>
          <w:b w:val="0"/>
          <w:bCs/>
          <w:kern w:val="2"/>
          <w:lang w:eastAsia="zh-CN"/>
        </w:rPr>
        <w:t>坚持按照</w:t>
      </w:r>
      <w:r>
        <w:rPr>
          <w:rFonts w:ascii="仿宋_GB2312" w:hAnsi="仿宋_GB2312" w:eastAsia="仿宋_GB2312" w:cs="仿宋_GB2312"/>
          <w:b w:val="0"/>
          <w:bCs/>
          <w:kern w:val="2"/>
          <w:lang w:eastAsia="zh-CN"/>
        </w:rPr>
        <w:t>“多样化、特色化、便利化”原则，结合属</w:t>
      </w:r>
      <w:r>
        <w:rPr>
          <w:rFonts w:ascii="Times New Roman" w:hAnsi="Times New Roman" w:eastAsia="仿宋_GB2312"/>
          <w:b w:val="0"/>
          <w:bCs/>
          <w:kern w:val="2"/>
          <w:lang w:eastAsia="zh-CN"/>
        </w:rPr>
        <w:t>地乡镇特色产业实施绿色支行创建工作，截</w:t>
      </w:r>
      <w:r>
        <w:rPr>
          <w:rFonts w:ascii="Times New Roman" w:hAnsi="Times New Roman" w:eastAsia="仿宋_GB2312"/>
          <w:b w:val="0"/>
          <w:bCs/>
          <w:color w:val="000000"/>
          <w:kern w:val="2"/>
          <w:lang w:eastAsia="zh-CN"/>
        </w:rPr>
        <w:t>至12</w:t>
      </w:r>
      <w:r>
        <w:rPr>
          <w:rFonts w:ascii="Times New Roman" w:hAnsi="Times New Roman" w:eastAsia="仿宋_GB2312"/>
          <w:b w:val="0"/>
          <w:bCs/>
          <w:kern w:val="2"/>
          <w:lang w:eastAsia="zh-CN"/>
        </w:rPr>
        <w:t>月末，已建成溪龙、余村、孝丰南门</w:t>
      </w:r>
      <w:r>
        <w:rPr>
          <w:rFonts w:hint="eastAsia" w:ascii="Times New Roman" w:hAnsi="Times New Roman" w:eastAsia="仿宋_GB2312"/>
          <w:b w:val="0"/>
          <w:bCs/>
          <w:kern w:val="2"/>
          <w:lang w:val="en-US" w:eastAsia="zh-CN"/>
        </w:rPr>
        <w:t>3</w:t>
      </w:r>
      <w:r>
        <w:rPr>
          <w:rFonts w:ascii="Times New Roman" w:hAnsi="Times New Roman" w:eastAsia="仿宋_GB2312"/>
          <w:b w:val="0"/>
          <w:bCs/>
          <w:kern w:val="2"/>
          <w:lang w:eastAsia="zh-CN"/>
        </w:rPr>
        <w:t>家绿色支行。绿色信贷及人员配置详见附表</w:t>
      </w:r>
      <w:r>
        <w:rPr>
          <w:rFonts w:ascii="Times New Roman" w:hAnsi="Times New Roman" w:eastAsia="仿宋_GB2312"/>
          <w:b w:val="0"/>
          <w:bCs/>
          <w:color w:val="000000"/>
          <w:kern w:val="2"/>
          <w:lang w:eastAsia="zh-CN"/>
        </w:rPr>
        <w:t>1</w:t>
      </w:r>
      <w:r>
        <w:rPr>
          <w:rFonts w:ascii="Times New Roman" w:hAnsi="Times New Roman" w:eastAsia="仿宋_GB2312"/>
          <w:b w:val="0"/>
          <w:bCs/>
          <w:kern w:val="2"/>
          <w:lang w:eastAsia="zh-CN"/>
        </w:rPr>
        <w:t>。</w:t>
      </w:r>
      <w:bookmarkEnd w:id="84"/>
      <w:bookmarkEnd w:id="85"/>
    </w:p>
    <w:p w14:paraId="3F2C7FB4">
      <w:pPr>
        <w:pStyle w:val="37"/>
        <w:spacing w:line="560" w:lineRule="exact"/>
        <w:ind w:left="0" w:firstLine="640" w:firstLineChars="200"/>
        <w:jc w:val="both"/>
        <w:outlineLvl w:val="9"/>
        <w:rPr>
          <w:rFonts w:ascii="Times New Roman" w:eastAsia="仿宋_GB2312"/>
          <w:kern w:val="2"/>
          <w:sz w:val="32"/>
          <w:szCs w:val="32"/>
        </w:rPr>
      </w:pPr>
      <w:r>
        <w:rPr>
          <w:rFonts w:ascii="Times New Roman" w:eastAsia="仿宋_GB2312"/>
          <w:kern w:val="2"/>
          <w:sz w:val="32"/>
          <w:szCs w:val="32"/>
          <w:u w:color="000000"/>
          <w:lang w:val="zh-TW" w:eastAsia="zh-TW"/>
        </w:rPr>
        <w:t>表1. 金融机构绿色支行情况表</w:t>
      </w:r>
      <w:r>
        <w:rPr>
          <w:rFonts w:ascii="Times New Roman" w:eastAsia="仿宋_GB2312"/>
          <w:b/>
          <w:bCs/>
          <w:sz w:val="28"/>
          <w:szCs w:val="28"/>
          <w:lang w:val="zh-TW"/>
        </w:rPr>
        <w:t xml:space="preserve">      </w:t>
      </w:r>
      <w:r>
        <w:rPr>
          <w:rFonts w:ascii="Times New Roman" w:eastAsia="仿宋_GB2312"/>
          <w:b/>
          <w:bCs/>
          <w:sz w:val="28"/>
          <w:szCs w:val="28"/>
        </w:rPr>
        <w:t xml:space="preserve">       </w:t>
      </w:r>
      <w:r>
        <w:rPr>
          <w:rFonts w:ascii="Times New Roman"/>
          <w:bCs/>
          <w:szCs w:val="20"/>
          <w:lang w:val="zh-TW"/>
        </w:rPr>
        <w:t>单位：万元、%、户</w:t>
      </w:r>
    </w:p>
    <w:tbl>
      <w:tblPr>
        <w:tblStyle w:val="2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426"/>
        <w:gridCol w:w="1487"/>
        <w:gridCol w:w="1481"/>
        <w:gridCol w:w="1560"/>
        <w:gridCol w:w="1584"/>
      </w:tblGrid>
      <w:tr w14:paraId="061A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8" w:type="dxa"/>
            <w:vAlign w:val="center"/>
          </w:tcPr>
          <w:p w14:paraId="292BF58F">
            <w:pPr>
              <w:pStyle w:val="44"/>
              <w:rPr>
                <w:rFonts w:ascii="Times New Roman" w:hAnsi="Times New Roman" w:eastAsia="宋体"/>
                <w:b/>
                <w:bCs/>
                <w:sz w:val="21"/>
                <w:szCs w:val="21"/>
              </w:rPr>
            </w:pPr>
            <w:r>
              <w:rPr>
                <w:rFonts w:ascii="Times New Roman" w:hAnsi="Times New Roman" w:eastAsia="宋体"/>
                <w:b/>
                <w:bCs/>
                <w:sz w:val="21"/>
                <w:szCs w:val="21"/>
              </w:rPr>
              <w:t>支行名称</w:t>
            </w:r>
          </w:p>
        </w:tc>
        <w:tc>
          <w:tcPr>
            <w:tcW w:w="1426" w:type="dxa"/>
            <w:vAlign w:val="center"/>
          </w:tcPr>
          <w:p w14:paraId="16782846">
            <w:pPr>
              <w:pStyle w:val="44"/>
              <w:rPr>
                <w:rFonts w:ascii="Times New Roman" w:hAnsi="Times New Roman" w:eastAsia="宋体"/>
                <w:b/>
                <w:bCs/>
                <w:sz w:val="21"/>
                <w:szCs w:val="21"/>
              </w:rPr>
            </w:pPr>
            <w:r>
              <w:rPr>
                <w:rFonts w:ascii="Times New Roman" w:hAnsi="Times New Roman" w:eastAsia="宋体"/>
                <w:b/>
                <w:bCs/>
                <w:sz w:val="21"/>
                <w:szCs w:val="21"/>
              </w:rPr>
              <w:t>批复时间</w:t>
            </w:r>
          </w:p>
        </w:tc>
        <w:tc>
          <w:tcPr>
            <w:tcW w:w="1487" w:type="dxa"/>
            <w:vAlign w:val="center"/>
          </w:tcPr>
          <w:p w14:paraId="1AADB72F">
            <w:pPr>
              <w:pStyle w:val="44"/>
              <w:rPr>
                <w:rFonts w:ascii="Times New Roman" w:hAnsi="Times New Roman" w:eastAsia="宋体"/>
                <w:b/>
                <w:bCs/>
                <w:sz w:val="21"/>
                <w:szCs w:val="21"/>
              </w:rPr>
            </w:pPr>
            <w:r>
              <w:rPr>
                <w:rFonts w:ascii="Times New Roman" w:hAnsi="Times New Roman" w:eastAsia="宋体"/>
                <w:b/>
                <w:bCs/>
                <w:sz w:val="21"/>
                <w:szCs w:val="21"/>
              </w:rPr>
              <w:t>绿色信贷余额</w:t>
            </w:r>
          </w:p>
        </w:tc>
        <w:tc>
          <w:tcPr>
            <w:tcW w:w="1481" w:type="dxa"/>
            <w:vAlign w:val="center"/>
          </w:tcPr>
          <w:p w14:paraId="155950EE">
            <w:pPr>
              <w:pStyle w:val="44"/>
              <w:rPr>
                <w:rFonts w:ascii="Times New Roman" w:hAnsi="Times New Roman" w:eastAsia="宋体"/>
                <w:b/>
                <w:bCs/>
                <w:sz w:val="21"/>
                <w:szCs w:val="21"/>
              </w:rPr>
            </w:pPr>
            <w:r>
              <w:rPr>
                <w:rFonts w:ascii="Times New Roman" w:hAnsi="Times New Roman" w:eastAsia="宋体"/>
                <w:b/>
                <w:bCs/>
                <w:sz w:val="21"/>
                <w:szCs w:val="21"/>
              </w:rPr>
              <w:t>绿色信贷占比</w:t>
            </w:r>
          </w:p>
        </w:tc>
        <w:tc>
          <w:tcPr>
            <w:tcW w:w="1560" w:type="dxa"/>
            <w:vAlign w:val="center"/>
          </w:tcPr>
          <w:p w14:paraId="1E827F8C">
            <w:pPr>
              <w:pStyle w:val="44"/>
              <w:rPr>
                <w:rFonts w:ascii="Times New Roman" w:hAnsi="Times New Roman" w:eastAsia="宋体"/>
                <w:b/>
                <w:bCs/>
                <w:sz w:val="21"/>
                <w:szCs w:val="21"/>
              </w:rPr>
            </w:pPr>
            <w:r>
              <w:rPr>
                <w:rFonts w:ascii="Times New Roman" w:hAnsi="Times New Roman" w:eastAsia="宋体"/>
                <w:b/>
                <w:bCs/>
                <w:sz w:val="21"/>
                <w:szCs w:val="21"/>
              </w:rPr>
              <w:t>绿色信贷户数</w:t>
            </w:r>
          </w:p>
        </w:tc>
        <w:tc>
          <w:tcPr>
            <w:tcW w:w="1584" w:type="dxa"/>
            <w:vAlign w:val="center"/>
          </w:tcPr>
          <w:p w14:paraId="0F63E379">
            <w:pPr>
              <w:pStyle w:val="44"/>
              <w:rPr>
                <w:rFonts w:ascii="Times New Roman" w:hAnsi="Times New Roman" w:eastAsia="宋体"/>
                <w:b/>
                <w:bCs/>
                <w:sz w:val="21"/>
                <w:szCs w:val="21"/>
              </w:rPr>
            </w:pPr>
            <w:r>
              <w:rPr>
                <w:rFonts w:ascii="Times New Roman" w:hAnsi="Times New Roman" w:eastAsia="宋体"/>
                <w:b/>
                <w:bCs/>
                <w:sz w:val="21"/>
                <w:szCs w:val="21"/>
              </w:rPr>
              <w:t>专职员工数量</w:t>
            </w:r>
          </w:p>
        </w:tc>
      </w:tr>
      <w:tr w14:paraId="0D2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68" w:type="dxa"/>
            <w:vAlign w:val="center"/>
          </w:tcPr>
          <w:p w14:paraId="387A80F0">
            <w:pPr>
              <w:pStyle w:val="44"/>
              <w:jc w:val="both"/>
              <w:rPr>
                <w:rFonts w:ascii="Times New Roman" w:hAnsi="Times New Roman" w:eastAsia="宋体"/>
                <w:sz w:val="21"/>
                <w:szCs w:val="21"/>
              </w:rPr>
            </w:pPr>
            <w:r>
              <w:rPr>
                <w:rFonts w:ascii="Times New Roman" w:hAnsi="Times New Roman" w:eastAsia="宋体"/>
                <w:sz w:val="21"/>
                <w:szCs w:val="21"/>
              </w:rPr>
              <w:t>浙江安吉农村商业银行股份有限公司溪龙绿色支行</w:t>
            </w:r>
          </w:p>
        </w:tc>
        <w:tc>
          <w:tcPr>
            <w:tcW w:w="1426" w:type="dxa"/>
            <w:vAlign w:val="center"/>
          </w:tcPr>
          <w:p w14:paraId="4EB15359">
            <w:pPr>
              <w:pStyle w:val="44"/>
              <w:rPr>
                <w:rFonts w:ascii="Times New Roman" w:hAnsi="Times New Roman" w:eastAsia="宋体"/>
                <w:sz w:val="21"/>
                <w:szCs w:val="21"/>
                <w:lang w:eastAsia="zh-Hans"/>
              </w:rPr>
            </w:pPr>
            <w:r>
              <w:rPr>
                <w:rFonts w:ascii="Times New Roman" w:hAnsi="Times New Roman" w:eastAsia="宋体"/>
                <w:sz w:val="21"/>
                <w:szCs w:val="21"/>
              </w:rPr>
              <w:t>2019</w:t>
            </w:r>
            <w:r>
              <w:rPr>
                <w:rFonts w:ascii="Times New Roman" w:hAnsi="Times New Roman" w:eastAsia="宋体"/>
                <w:sz w:val="21"/>
                <w:szCs w:val="21"/>
                <w:lang w:eastAsia="zh-Hans"/>
              </w:rPr>
              <w:t>年</w:t>
            </w:r>
            <w:r>
              <w:rPr>
                <w:rFonts w:ascii="Times New Roman" w:hAnsi="Times New Roman" w:eastAsia="宋体"/>
                <w:sz w:val="21"/>
                <w:szCs w:val="21"/>
              </w:rPr>
              <w:t>3</w:t>
            </w:r>
            <w:r>
              <w:rPr>
                <w:rFonts w:ascii="Times New Roman" w:hAnsi="Times New Roman" w:eastAsia="宋体"/>
                <w:sz w:val="21"/>
                <w:szCs w:val="21"/>
                <w:lang w:eastAsia="zh-Hans"/>
              </w:rPr>
              <w:t>月</w:t>
            </w:r>
          </w:p>
        </w:tc>
        <w:tc>
          <w:tcPr>
            <w:tcW w:w="1487" w:type="dxa"/>
            <w:vAlign w:val="center"/>
          </w:tcPr>
          <w:p w14:paraId="03D76736">
            <w:pPr>
              <w:pStyle w:val="44"/>
              <w:rPr>
                <w:rFonts w:ascii="Times New Roman" w:hAnsi="Times New Roman" w:eastAsia="宋体"/>
                <w:sz w:val="21"/>
                <w:szCs w:val="21"/>
                <w:lang w:val="en-US"/>
              </w:rPr>
            </w:pPr>
            <w:r>
              <w:rPr>
                <w:rFonts w:hint="eastAsia" w:ascii="Times New Roman" w:hAnsi="Times New Roman" w:eastAsia="宋体"/>
                <w:sz w:val="21"/>
                <w:szCs w:val="21"/>
                <w:lang w:val="en-US"/>
              </w:rPr>
              <w:t>73574</w:t>
            </w:r>
          </w:p>
        </w:tc>
        <w:tc>
          <w:tcPr>
            <w:tcW w:w="1481" w:type="dxa"/>
            <w:vAlign w:val="center"/>
          </w:tcPr>
          <w:p w14:paraId="799F28FA">
            <w:pPr>
              <w:pStyle w:val="44"/>
              <w:rPr>
                <w:rFonts w:ascii="Times New Roman" w:hAnsi="Times New Roman" w:eastAsia="宋体"/>
                <w:sz w:val="21"/>
                <w:szCs w:val="21"/>
                <w:lang w:val="en-US"/>
              </w:rPr>
            </w:pPr>
            <w:r>
              <w:rPr>
                <w:rFonts w:hint="eastAsia" w:ascii="Times New Roman" w:hAnsi="Times New Roman" w:eastAsia="宋体"/>
                <w:sz w:val="21"/>
                <w:szCs w:val="21"/>
                <w:lang w:val="en-US"/>
              </w:rPr>
              <w:t>92.43</w:t>
            </w:r>
          </w:p>
        </w:tc>
        <w:tc>
          <w:tcPr>
            <w:tcW w:w="1560" w:type="dxa"/>
            <w:vAlign w:val="center"/>
          </w:tcPr>
          <w:p w14:paraId="69F3FF05">
            <w:pPr>
              <w:pStyle w:val="44"/>
              <w:rPr>
                <w:rFonts w:ascii="Times New Roman" w:hAnsi="Times New Roman" w:eastAsia="宋体"/>
                <w:sz w:val="21"/>
                <w:szCs w:val="21"/>
                <w:lang w:val="en-US"/>
              </w:rPr>
            </w:pPr>
            <w:r>
              <w:rPr>
                <w:rFonts w:hint="eastAsia" w:ascii="Times New Roman" w:hAnsi="Times New Roman" w:eastAsia="宋体"/>
                <w:sz w:val="21"/>
                <w:szCs w:val="21"/>
                <w:lang w:val="en-US"/>
              </w:rPr>
              <w:t>1020</w:t>
            </w:r>
          </w:p>
        </w:tc>
        <w:tc>
          <w:tcPr>
            <w:tcW w:w="1584" w:type="dxa"/>
            <w:vAlign w:val="center"/>
          </w:tcPr>
          <w:p w14:paraId="508B5AED">
            <w:pPr>
              <w:pStyle w:val="44"/>
              <w:rPr>
                <w:rFonts w:ascii="Times New Roman" w:hAnsi="Times New Roman" w:eastAsia="宋体"/>
                <w:sz w:val="21"/>
                <w:szCs w:val="21"/>
                <w:lang w:val="en-US"/>
              </w:rPr>
            </w:pPr>
            <w:r>
              <w:rPr>
                <w:rFonts w:hint="eastAsia" w:ascii="Times New Roman" w:hAnsi="Times New Roman" w:eastAsia="宋体"/>
                <w:sz w:val="21"/>
                <w:szCs w:val="21"/>
                <w:lang w:val="en-US"/>
              </w:rPr>
              <w:t>13</w:t>
            </w:r>
          </w:p>
        </w:tc>
      </w:tr>
      <w:tr w14:paraId="71CC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68" w:type="dxa"/>
            <w:vAlign w:val="center"/>
          </w:tcPr>
          <w:p w14:paraId="6F66509B">
            <w:pPr>
              <w:pStyle w:val="44"/>
              <w:jc w:val="both"/>
              <w:rPr>
                <w:rFonts w:ascii="Times New Roman" w:hAnsi="Times New Roman" w:eastAsia="宋体"/>
                <w:sz w:val="21"/>
                <w:szCs w:val="21"/>
              </w:rPr>
            </w:pPr>
            <w:r>
              <w:rPr>
                <w:rFonts w:ascii="Times New Roman" w:hAnsi="Times New Roman" w:eastAsia="宋体"/>
                <w:sz w:val="21"/>
                <w:szCs w:val="21"/>
              </w:rPr>
              <w:t>浙江安吉农村商业银行股份有限公司余村绿色支行</w:t>
            </w:r>
          </w:p>
        </w:tc>
        <w:tc>
          <w:tcPr>
            <w:tcW w:w="1426" w:type="dxa"/>
            <w:vAlign w:val="center"/>
          </w:tcPr>
          <w:p w14:paraId="432F3CCD">
            <w:pPr>
              <w:pStyle w:val="44"/>
              <w:rPr>
                <w:rFonts w:ascii="Times New Roman" w:hAnsi="Times New Roman" w:eastAsia="宋体"/>
                <w:sz w:val="21"/>
                <w:szCs w:val="21"/>
                <w:lang w:eastAsia="zh-Hans"/>
              </w:rPr>
            </w:pPr>
            <w:r>
              <w:rPr>
                <w:rFonts w:ascii="Times New Roman" w:hAnsi="Times New Roman" w:eastAsia="宋体"/>
                <w:sz w:val="21"/>
                <w:szCs w:val="21"/>
              </w:rPr>
              <w:t>2021</w:t>
            </w:r>
            <w:r>
              <w:rPr>
                <w:rFonts w:ascii="Times New Roman" w:hAnsi="Times New Roman" w:eastAsia="宋体"/>
                <w:sz w:val="21"/>
                <w:szCs w:val="21"/>
                <w:lang w:eastAsia="zh-Hans"/>
              </w:rPr>
              <w:t>年</w:t>
            </w:r>
            <w:r>
              <w:rPr>
                <w:rFonts w:hint="eastAsia" w:ascii="Times New Roman" w:hAnsi="Times New Roman" w:eastAsia="宋体"/>
                <w:sz w:val="21"/>
                <w:szCs w:val="21"/>
              </w:rPr>
              <w:t>6</w:t>
            </w:r>
            <w:r>
              <w:rPr>
                <w:rFonts w:ascii="Times New Roman" w:hAnsi="Times New Roman" w:eastAsia="宋体"/>
                <w:sz w:val="21"/>
                <w:szCs w:val="21"/>
                <w:lang w:eastAsia="zh-Hans"/>
              </w:rPr>
              <w:t>月</w:t>
            </w:r>
          </w:p>
        </w:tc>
        <w:tc>
          <w:tcPr>
            <w:tcW w:w="1487" w:type="dxa"/>
            <w:vAlign w:val="center"/>
          </w:tcPr>
          <w:p w14:paraId="063C4CEF">
            <w:pPr>
              <w:pStyle w:val="44"/>
              <w:rPr>
                <w:rFonts w:ascii="Times New Roman" w:hAnsi="Times New Roman" w:eastAsia="宋体"/>
                <w:sz w:val="21"/>
                <w:szCs w:val="21"/>
                <w:lang w:val="en-US"/>
              </w:rPr>
            </w:pPr>
            <w:r>
              <w:rPr>
                <w:rFonts w:hint="eastAsia" w:ascii="Times New Roman" w:hAnsi="Times New Roman" w:eastAsia="宋体"/>
                <w:sz w:val="21"/>
                <w:szCs w:val="21"/>
                <w:lang w:val="en-US"/>
              </w:rPr>
              <w:t>86836</w:t>
            </w:r>
          </w:p>
        </w:tc>
        <w:tc>
          <w:tcPr>
            <w:tcW w:w="1481" w:type="dxa"/>
            <w:vAlign w:val="center"/>
          </w:tcPr>
          <w:p w14:paraId="526012BD">
            <w:pPr>
              <w:pStyle w:val="44"/>
              <w:rPr>
                <w:rFonts w:ascii="Times New Roman" w:hAnsi="Times New Roman" w:eastAsia="宋体"/>
                <w:sz w:val="21"/>
                <w:szCs w:val="21"/>
                <w:lang w:val="en-US"/>
              </w:rPr>
            </w:pPr>
            <w:r>
              <w:rPr>
                <w:rFonts w:hint="eastAsia" w:ascii="Times New Roman" w:hAnsi="Times New Roman" w:eastAsia="宋体"/>
                <w:sz w:val="21"/>
                <w:szCs w:val="21"/>
                <w:lang w:val="en-US"/>
              </w:rPr>
              <w:t>67.93</w:t>
            </w:r>
          </w:p>
        </w:tc>
        <w:tc>
          <w:tcPr>
            <w:tcW w:w="1560" w:type="dxa"/>
            <w:vAlign w:val="center"/>
          </w:tcPr>
          <w:p w14:paraId="4ABBB30D">
            <w:pPr>
              <w:pStyle w:val="44"/>
              <w:rPr>
                <w:rFonts w:ascii="Times New Roman" w:hAnsi="Times New Roman" w:eastAsia="宋体"/>
                <w:sz w:val="21"/>
                <w:szCs w:val="21"/>
                <w:lang w:val="en-US"/>
              </w:rPr>
            </w:pPr>
            <w:r>
              <w:rPr>
                <w:rFonts w:hint="eastAsia" w:ascii="Times New Roman" w:hAnsi="Times New Roman" w:eastAsia="宋体"/>
                <w:sz w:val="21"/>
                <w:szCs w:val="21"/>
                <w:lang w:val="en-US"/>
              </w:rPr>
              <w:t>850</w:t>
            </w:r>
          </w:p>
        </w:tc>
        <w:tc>
          <w:tcPr>
            <w:tcW w:w="1584" w:type="dxa"/>
            <w:vAlign w:val="center"/>
          </w:tcPr>
          <w:p w14:paraId="1DD0E420">
            <w:pPr>
              <w:pStyle w:val="44"/>
              <w:rPr>
                <w:rFonts w:ascii="Times New Roman" w:hAnsi="Times New Roman" w:eastAsia="宋体"/>
                <w:sz w:val="21"/>
                <w:szCs w:val="21"/>
                <w:lang w:val="en-US"/>
              </w:rPr>
            </w:pPr>
            <w:r>
              <w:rPr>
                <w:rFonts w:hint="eastAsia" w:ascii="Times New Roman" w:hAnsi="Times New Roman" w:eastAsia="宋体"/>
                <w:sz w:val="21"/>
                <w:szCs w:val="21"/>
                <w:lang w:val="en-US"/>
              </w:rPr>
              <w:t>15</w:t>
            </w:r>
          </w:p>
        </w:tc>
      </w:tr>
      <w:tr w14:paraId="6536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68" w:type="dxa"/>
            <w:vAlign w:val="center"/>
          </w:tcPr>
          <w:p w14:paraId="463562C6">
            <w:pPr>
              <w:pStyle w:val="44"/>
              <w:jc w:val="both"/>
              <w:rPr>
                <w:rFonts w:ascii="Times New Roman" w:hAnsi="Times New Roman" w:eastAsia="宋体"/>
                <w:sz w:val="21"/>
                <w:szCs w:val="21"/>
              </w:rPr>
            </w:pPr>
            <w:r>
              <w:rPr>
                <w:rFonts w:ascii="Times New Roman" w:hAnsi="Times New Roman" w:eastAsia="宋体"/>
                <w:sz w:val="21"/>
                <w:szCs w:val="21"/>
              </w:rPr>
              <w:t>浙江安吉农村商业银行股份有限公司</w:t>
            </w:r>
            <w:r>
              <w:rPr>
                <w:rFonts w:ascii="Times New Roman" w:hAnsi="Times New Roman" w:eastAsia="宋体"/>
                <w:sz w:val="21"/>
                <w:szCs w:val="21"/>
                <w:lang w:eastAsia="zh-Hans"/>
              </w:rPr>
              <w:t>孝丰南门</w:t>
            </w:r>
            <w:r>
              <w:rPr>
                <w:rFonts w:ascii="Times New Roman" w:hAnsi="Times New Roman" w:eastAsia="宋体"/>
                <w:sz w:val="21"/>
                <w:szCs w:val="21"/>
              </w:rPr>
              <w:t>绿色支行</w:t>
            </w:r>
          </w:p>
        </w:tc>
        <w:tc>
          <w:tcPr>
            <w:tcW w:w="1426" w:type="dxa"/>
            <w:vAlign w:val="center"/>
          </w:tcPr>
          <w:p w14:paraId="091B1A61">
            <w:pPr>
              <w:pStyle w:val="44"/>
              <w:rPr>
                <w:rFonts w:ascii="Times New Roman" w:hAnsi="Times New Roman" w:eastAsia="宋体"/>
                <w:sz w:val="21"/>
                <w:szCs w:val="21"/>
                <w:lang w:eastAsia="zh-Hans"/>
              </w:rPr>
            </w:pPr>
            <w:r>
              <w:rPr>
                <w:rFonts w:ascii="Times New Roman" w:hAnsi="Times New Roman" w:eastAsia="宋体"/>
                <w:sz w:val="21"/>
                <w:szCs w:val="21"/>
              </w:rPr>
              <w:t>202</w:t>
            </w:r>
            <w:r>
              <w:rPr>
                <w:rFonts w:hint="eastAsia" w:ascii="Times New Roman" w:hAnsi="Times New Roman" w:eastAsia="宋体"/>
                <w:sz w:val="21"/>
                <w:szCs w:val="21"/>
              </w:rPr>
              <w:t>2</w:t>
            </w:r>
            <w:r>
              <w:rPr>
                <w:rFonts w:ascii="Times New Roman" w:hAnsi="Times New Roman" w:eastAsia="宋体"/>
                <w:sz w:val="21"/>
                <w:szCs w:val="21"/>
                <w:lang w:eastAsia="zh-Hans"/>
              </w:rPr>
              <w:t>年</w:t>
            </w:r>
            <w:r>
              <w:rPr>
                <w:rFonts w:hint="eastAsia" w:ascii="Times New Roman" w:hAnsi="Times New Roman" w:eastAsia="宋体"/>
                <w:sz w:val="21"/>
                <w:szCs w:val="21"/>
              </w:rPr>
              <w:t>1</w:t>
            </w:r>
            <w:r>
              <w:rPr>
                <w:rFonts w:ascii="Times New Roman" w:hAnsi="Times New Roman" w:eastAsia="宋体"/>
                <w:sz w:val="21"/>
                <w:szCs w:val="21"/>
                <w:lang w:eastAsia="zh-Hans"/>
              </w:rPr>
              <w:t>月</w:t>
            </w:r>
          </w:p>
        </w:tc>
        <w:tc>
          <w:tcPr>
            <w:tcW w:w="1487" w:type="dxa"/>
            <w:vAlign w:val="center"/>
          </w:tcPr>
          <w:p w14:paraId="6FCFA38C">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39842</w:t>
            </w:r>
          </w:p>
        </w:tc>
        <w:tc>
          <w:tcPr>
            <w:tcW w:w="1481" w:type="dxa"/>
            <w:vAlign w:val="center"/>
          </w:tcPr>
          <w:p w14:paraId="0BC2276D">
            <w:pPr>
              <w:pStyle w:val="44"/>
              <w:rPr>
                <w:rFonts w:ascii="Times New Roman" w:hAnsi="Times New Roman" w:eastAsia="宋体"/>
                <w:sz w:val="21"/>
                <w:szCs w:val="21"/>
                <w:lang w:val="en-US"/>
              </w:rPr>
            </w:pPr>
            <w:r>
              <w:rPr>
                <w:rFonts w:hint="eastAsia" w:ascii="Times New Roman" w:hAnsi="Times New Roman" w:eastAsia="宋体"/>
                <w:sz w:val="21"/>
                <w:szCs w:val="21"/>
                <w:lang w:val="en-US"/>
              </w:rPr>
              <w:t>55.35</w:t>
            </w:r>
          </w:p>
        </w:tc>
        <w:tc>
          <w:tcPr>
            <w:tcW w:w="1560" w:type="dxa"/>
            <w:vAlign w:val="center"/>
          </w:tcPr>
          <w:p w14:paraId="326F33ED">
            <w:pPr>
              <w:pStyle w:val="44"/>
              <w:rPr>
                <w:rFonts w:ascii="Times New Roman" w:hAnsi="Times New Roman" w:eastAsia="宋体"/>
                <w:sz w:val="21"/>
                <w:szCs w:val="21"/>
                <w:lang w:val="en-US"/>
              </w:rPr>
            </w:pPr>
            <w:r>
              <w:rPr>
                <w:rFonts w:hint="eastAsia" w:ascii="Times New Roman" w:hAnsi="Times New Roman" w:eastAsia="宋体"/>
                <w:sz w:val="21"/>
                <w:szCs w:val="21"/>
                <w:lang w:val="en-US"/>
              </w:rPr>
              <w:t>741</w:t>
            </w:r>
          </w:p>
        </w:tc>
        <w:tc>
          <w:tcPr>
            <w:tcW w:w="1584" w:type="dxa"/>
            <w:vAlign w:val="center"/>
          </w:tcPr>
          <w:p w14:paraId="6F27CED5">
            <w:pPr>
              <w:pStyle w:val="44"/>
              <w:rPr>
                <w:rFonts w:ascii="Times New Roman" w:hAnsi="Times New Roman" w:eastAsia="宋体"/>
                <w:sz w:val="21"/>
                <w:szCs w:val="21"/>
                <w:lang w:val="en-US"/>
              </w:rPr>
            </w:pPr>
            <w:r>
              <w:rPr>
                <w:rFonts w:hint="eastAsia" w:ascii="Times New Roman" w:hAnsi="Times New Roman" w:eastAsia="宋体"/>
                <w:sz w:val="21"/>
                <w:szCs w:val="21"/>
                <w:lang w:val="en-US"/>
              </w:rPr>
              <w:t>16</w:t>
            </w:r>
          </w:p>
        </w:tc>
      </w:tr>
    </w:tbl>
    <w:p w14:paraId="7C1877A3">
      <w:pPr>
        <w:ind w:firstLine="643"/>
        <w:rPr>
          <w:lang w:val="zh-TW"/>
        </w:rPr>
      </w:pPr>
    </w:p>
    <w:bookmarkEnd w:id="76"/>
    <w:bookmarkEnd w:id="77"/>
    <w:p w14:paraId="51B2A857">
      <w:pPr>
        <w:pStyle w:val="2"/>
        <w:ind w:firstLine="640"/>
        <w:rPr>
          <w:rFonts w:ascii="Times New Roman" w:hAnsi="Times New Roman"/>
          <w:color w:val="000000"/>
          <w:u w:color="000000"/>
          <w:lang w:val="en-US"/>
        </w:rPr>
      </w:pPr>
      <w:bookmarkStart w:id="86" w:name="_Toc70665255"/>
      <w:bookmarkStart w:id="87" w:name="_Toc7761"/>
      <w:r>
        <w:rPr>
          <w:rFonts w:ascii="Times New Roman" w:hAnsi="Times New Roman"/>
          <w:color w:val="000000"/>
          <w:u w:color="000000"/>
          <w:lang w:val="en-US"/>
        </w:rPr>
        <w:t>4金融机构环境相关政策制度</w:t>
      </w:r>
      <w:bookmarkEnd w:id="86"/>
      <w:bookmarkEnd w:id="87"/>
    </w:p>
    <w:p w14:paraId="4DF102D2">
      <w:pPr>
        <w:pStyle w:val="40"/>
        <w:ind w:firstLine="643"/>
        <w:rPr>
          <w:rFonts w:ascii="Times New Roman" w:hAnsi="Times New Roman"/>
          <w:lang w:val="en-US" w:eastAsia="zh-CN"/>
        </w:rPr>
      </w:pPr>
      <w:bookmarkStart w:id="88" w:name="_Toc10228"/>
      <w:bookmarkStart w:id="89" w:name="_Toc70665256"/>
      <w:r>
        <w:rPr>
          <w:rFonts w:ascii="Times New Roman" w:hAnsi="Times New Roman"/>
        </w:rPr>
        <w:t>4.1环境政策可能对金融机构产生的影响</w:t>
      </w:r>
      <w:bookmarkEnd w:id="88"/>
    </w:p>
    <w:p w14:paraId="32061DBD">
      <w:pPr>
        <w:pStyle w:val="27"/>
        <w:tabs>
          <w:tab w:val="left" w:pos="949"/>
        </w:tabs>
        <w:spacing w:line="560" w:lineRule="exact"/>
        <w:ind w:firstLine="640" w:firstLineChars="200"/>
        <w:rPr>
          <w:rFonts w:eastAsia="仿宋_GB2312" w:cs="Times New Roman"/>
          <w:color w:val="auto"/>
          <w:sz w:val="32"/>
          <w:szCs w:val="32"/>
        </w:rPr>
      </w:pPr>
      <w:r>
        <w:rPr>
          <w:rFonts w:eastAsia="仿宋_GB2312" w:cs="Times New Roman"/>
          <w:color w:val="auto"/>
          <w:sz w:val="32"/>
          <w:szCs w:val="32"/>
          <w:lang w:val="zh-TW"/>
        </w:rPr>
        <w:t>随着</w:t>
      </w:r>
      <w:r>
        <w:rPr>
          <w:rFonts w:ascii="仿宋_GB2312" w:hAnsi="仿宋_GB2312" w:eastAsia="仿宋_GB2312" w:cs="仿宋_GB2312"/>
          <w:color w:val="auto"/>
          <w:sz w:val="32"/>
          <w:szCs w:val="32"/>
          <w:lang w:val="zh-TW"/>
        </w:rPr>
        <w:t>国家“双碳”战略目标逐步落地，大力发展绿色金融，推动实现能源转型、促进低碳绿色产业发展将逐渐成为金融机构的主流经营模式，而环境政策的实施对金融机构或产生一定的影响：在风险管理方面，金融机构需要越来越多地考虑环境因素对企业经营的潜在风险；在投资组合方面，低碳经济、清洁能源等领域将成为金融机构热门的投资方向，金融机构需调整投资组合，加大对环境友好产业的支持和投资，以适应市场需求和政策导向；在产品创新方面，环境政策的实施推动金融机构创新绿色金融产品和服务，例如绿色债券、绿色贷款等，以</w:t>
      </w:r>
      <w:r>
        <w:rPr>
          <w:rFonts w:eastAsia="仿宋_GB2312" w:cs="Times New Roman"/>
          <w:color w:val="auto"/>
          <w:sz w:val="32"/>
          <w:szCs w:val="32"/>
        </w:rPr>
        <w:t>支持环保领域的项目和企业，同时满足环境、社会和经济的可持续发展需求；在合规方面，对金融机构提出了更高的合规要求，要加强对环境风险的监控和管理，加大环境信息披露力度，保证金融活动符合环境政策的要求。与</w:t>
      </w:r>
      <w:r>
        <w:rPr>
          <w:rFonts w:eastAsia="仿宋_GB2312" w:cs="Times New Roman"/>
          <w:color w:val="auto"/>
          <w:sz w:val="32"/>
          <w:szCs w:val="32"/>
          <w:lang w:val="zh-TW"/>
        </w:rPr>
        <w:t>金融机构</w:t>
      </w:r>
      <w:r>
        <w:rPr>
          <w:rFonts w:eastAsia="仿宋_GB2312" w:cs="Times New Roman"/>
          <w:color w:val="auto"/>
          <w:sz w:val="32"/>
          <w:szCs w:val="32"/>
        </w:rPr>
        <w:t>而言</w:t>
      </w:r>
      <w:r>
        <w:rPr>
          <w:rFonts w:eastAsia="仿宋_GB2312" w:cs="Times New Roman"/>
          <w:color w:val="auto"/>
          <w:sz w:val="32"/>
          <w:szCs w:val="32"/>
          <w:lang w:val="zh-TW"/>
        </w:rPr>
        <w:t>，</w:t>
      </w:r>
      <w:r>
        <w:rPr>
          <w:rFonts w:eastAsia="仿宋_GB2312" w:cs="Times New Roman"/>
          <w:color w:val="auto"/>
          <w:sz w:val="32"/>
          <w:szCs w:val="32"/>
        </w:rPr>
        <w:t>各类环境政策的提出和实施，既是挑战也是机遇，需要不断调整自身战略和业务模式，以适应环境政策的发展和变化。</w:t>
      </w:r>
    </w:p>
    <w:p w14:paraId="2FAFA145">
      <w:pPr>
        <w:pStyle w:val="27"/>
        <w:tabs>
          <w:tab w:val="left" w:pos="949"/>
        </w:tabs>
        <w:spacing w:line="560" w:lineRule="exact"/>
        <w:ind w:firstLine="640" w:firstLineChars="200"/>
        <w:rPr>
          <w:rFonts w:eastAsia="仿宋_GB2312" w:cs="Times New Roman"/>
          <w:kern w:val="0"/>
          <w:sz w:val="32"/>
          <w:szCs w:val="32"/>
        </w:rPr>
      </w:pPr>
      <w:r>
        <w:rPr>
          <w:rFonts w:eastAsia="仿宋_GB2312" w:cs="Times New Roman"/>
          <w:color w:val="auto"/>
          <w:sz w:val="32"/>
          <w:szCs w:val="32"/>
          <w:lang w:val="zh-TW"/>
        </w:rPr>
        <w:t>基于</w:t>
      </w:r>
      <w:r>
        <w:rPr>
          <w:rFonts w:eastAsia="仿宋_GB2312" w:cs="Times New Roman"/>
          <w:color w:val="auto"/>
          <w:sz w:val="32"/>
          <w:szCs w:val="32"/>
        </w:rPr>
        <w:t>此，</w:t>
      </w:r>
      <w:r>
        <w:rPr>
          <w:rFonts w:eastAsia="仿宋_GB2312" w:cs="Times New Roman"/>
          <w:color w:val="auto"/>
          <w:sz w:val="32"/>
          <w:szCs w:val="32"/>
          <w:lang w:val="zh-TW"/>
        </w:rPr>
        <w:t>本行</w:t>
      </w:r>
      <w:r>
        <w:rPr>
          <w:rFonts w:eastAsia="仿宋_GB2312" w:cs="Times New Roman"/>
          <w:color w:val="auto"/>
          <w:sz w:val="32"/>
          <w:szCs w:val="32"/>
        </w:rPr>
        <w:t>紧紧</w:t>
      </w:r>
      <w:r>
        <w:rPr>
          <w:rFonts w:eastAsia="仿宋_GB2312" w:cs="Times New Roman"/>
          <w:color w:val="auto"/>
          <w:sz w:val="32"/>
          <w:szCs w:val="32"/>
          <w:lang w:val="zh-TW"/>
        </w:rPr>
        <w:t>围</w:t>
      </w:r>
      <w:r>
        <w:rPr>
          <w:rFonts w:ascii="仿宋_GB2312" w:hAnsi="仿宋_GB2312" w:eastAsia="仿宋_GB2312" w:cs="仿宋_GB2312"/>
          <w:color w:val="auto"/>
          <w:sz w:val="32"/>
          <w:szCs w:val="32"/>
          <w:highlight w:val="none"/>
          <w:lang w:val="zh-TW"/>
        </w:rPr>
        <w:t>绕</w:t>
      </w:r>
      <w:r>
        <w:rPr>
          <w:rFonts w:eastAsia="仿宋_GB2312" w:cs="Times New Roman"/>
          <w:color w:val="auto"/>
          <w:sz w:val="32"/>
          <w:szCs w:val="32"/>
          <w:highlight w:val="none"/>
        </w:rPr>
        <w:t>中央金融工作会议提出做好</w:t>
      </w:r>
      <w:r>
        <w:rPr>
          <w:rFonts w:hint="eastAsia" w:eastAsia="仿宋_GB2312" w:cs="Times New Roman"/>
          <w:color w:val="auto"/>
          <w:sz w:val="32"/>
          <w:szCs w:val="32"/>
          <w:highlight w:val="none"/>
        </w:rPr>
        <w:t>“</w:t>
      </w:r>
      <w:r>
        <w:rPr>
          <w:rFonts w:eastAsia="仿宋_GB2312" w:cs="Times New Roman"/>
          <w:color w:val="auto"/>
          <w:sz w:val="32"/>
          <w:szCs w:val="32"/>
          <w:highlight w:val="none"/>
        </w:rPr>
        <w:t>五篇大文章</w:t>
      </w:r>
      <w:r>
        <w:rPr>
          <w:rFonts w:hint="eastAsia" w:eastAsia="仿宋_GB2312" w:cs="Times New Roman"/>
          <w:color w:val="auto"/>
          <w:sz w:val="32"/>
          <w:szCs w:val="32"/>
          <w:highlight w:val="none"/>
        </w:rPr>
        <w:t>”的工作要求、</w:t>
      </w:r>
      <w:r>
        <w:rPr>
          <w:rFonts w:ascii="仿宋_GB2312" w:hAnsi="仿宋_GB2312" w:eastAsia="仿宋_GB2312" w:cs="仿宋_GB2312"/>
          <w:color w:val="auto"/>
          <w:sz w:val="32"/>
          <w:szCs w:val="32"/>
          <w:highlight w:val="none"/>
          <w:lang w:val="zh-TW"/>
        </w:rPr>
        <w:t>中国</w:t>
      </w:r>
      <w:r>
        <w:rPr>
          <w:rFonts w:ascii="仿宋_GB2312" w:hAnsi="仿宋_GB2312" w:eastAsia="仿宋_GB2312" w:cs="仿宋_GB2312"/>
          <w:color w:val="auto"/>
          <w:sz w:val="32"/>
          <w:szCs w:val="32"/>
          <w:lang w:val="zh-TW"/>
        </w:rPr>
        <w:t>人民银行第四部委《金融标准化“十四五”发展规划》、</w:t>
      </w:r>
      <w:r>
        <w:rPr>
          <w:rFonts w:hint="eastAsia" w:ascii="仿宋_GB2312" w:hAnsi="仿宋_GB2312" w:eastAsia="仿宋_GB2312" w:cs="仿宋_GB2312"/>
          <w:color w:val="auto"/>
          <w:sz w:val="32"/>
          <w:szCs w:val="32"/>
        </w:rPr>
        <w:t>原</w:t>
      </w:r>
      <w:r>
        <w:rPr>
          <w:rFonts w:ascii="仿宋_GB2312" w:hAnsi="仿宋_GB2312" w:eastAsia="仿宋_GB2312" w:cs="仿宋_GB2312"/>
          <w:color w:val="auto"/>
          <w:sz w:val="32"/>
          <w:szCs w:val="32"/>
          <w:lang w:val="zh-TW"/>
        </w:rPr>
        <w:t>中国</w:t>
      </w:r>
      <w:r>
        <w:rPr>
          <w:rFonts w:eastAsia="仿宋_GB2312" w:cs="Times New Roman"/>
          <w:color w:val="auto"/>
          <w:sz w:val="32"/>
          <w:szCs w:val="32"/>
        </w:rPr>
        <w:t>银保监会《银行业保险业绿色金融指引》等文件精神，并结合自身实际情况制定</w:t>
      </w:r>
      <w:r>
        <w:rPr>
          <w:rFonts w:hint="eastAsia" w:eastAsia="仿宋_GB2312" w:cs="Times New Roman"/>
          <w:sz w:val="32"/>
          <w:szCs w:val="32"/>
          <w:lang w:val="zh-TW"/>
        </w:rPr>
        <w:t>2022-2026</w:t>
      </w:r>
      <w:r>
        <w:rPr>
          <w:rFonts w:eastAsia="仿宋_GB2312" w:cs="Times New Roman"/>
          <w:color w:val="auto"/>
          <w:sz w:val="32"/>
          <w:szCs w:val="32"/>
        </w:rPr>
        <w:t>年绿色普惠金融发展五年规划，持续优化完善绿色普惠组织机制，构建绿色普惠金融标准体系，探索发展碳金融、能效金融、转型金融、养老金融、支持生物多样性保护等新模式，加强国内国际绿色金融交流合作，创新绿色普惠产品服务，提升绿色普惠金融数字化水平，促进县域经济社会绿色低碳转型，提高金融助力绿色低碳治理能力，同时</w:t>
      </w:r>
      <w:r>
        <w:rPr>
          <w:rFonts w:eastAsia="仿宋_GB2312" w:cs="Times New Roman"/>
          <w:color w:val="auto"/>
          <w:sz w:val="32"/>
          <w:szCs w:val="32"/>
          <w:lang w:val="zh-TW"/>
        </w:rPr>
        <w:t>健全环境风险管理，形成与绿色金融发展相匹配所需的风险识别、评估、监测能力。</w:t>
      </w:r>
    </w:p>
    <w:p w14:paraId="7FCAA416">
      <w:pPr>
        <w:pStyle w:val="40"/>
        <w:ind w:firstLine="643"/>
        <w:rPr>
          <w:rFonts w:ascii="Times New Roman" w:hAnsi="Times New Roman" w:eastAsia="仿宋_GB2312"/>
          <w:b w:val="0"/>
          <w:kern w:val="2"/>
          <w:sz w:val="30"/>
          <w:szCs w:val="30"/>
        </w:rPr>
      </w:pPr>
      <w:bookmarkStart w:id="90" w:name="_Toc7189"/>
      <w:r>
        <w:rPr>
          <w:rFonts w:ascii="Times New Roman" w:hAnsi="Times New Roman"/>
          <w:lang w:eastAsia="zh-CN"/>
        </w:rPr>
        <w:t>4.2</w:t>
      </w:r>
      <w:r>
        <w:rPr>
          <w:rFonts w:ascii="Times New Roman" w:hAnsi="Times New Roman"/>
        </w:rPr>
        <w:t>本机构与环境相关的现行政策</w:t>
      </w:r>
      <w:bookmarkEnd w:id="90"/>
    </w:p>
    <w:p w14:paraId="1C05DFE6">
      <w:pPr>
        <w:widowControl/>
        <w:spacing w:line="560" w:lineRule="exact"/>
        <w:ind w:firstLine="640" w:firstLineChars="200"/>
        <w:rPr>
          <w:rFonts w:eastAsia="仿宋_GB2312"/>
          <w:sz w:val="32"/>
          <w:szCs w:val="32"/>
          <w:u w:color="000000"/>
          <w:lang w:val="zh-TW"/>
        </w:rPr>
      </w:pPr>
      <w:r>
        <w:rPr>
          <w:rFonts w:hint="eastAsia" w:eastAsia="仿宋_GB2312"/>
          <w:sz w:val="32"/>
          <w:szCs w:val="32"/>
          <w:u w:color="000000"/>
          <w:lang w:val="zh-TW"/>
        </w:rPr>
        <w:t>截至202</w:t>
      </w:r>
      <w:r>
        <w:rPr>
          <w:rFonts w:hint="eastAsia" w:eastAsia="仿宋_GB2312"/>
          <w:sz w:val="32"/>
          <w:szCs w:val="32"/>
          <w:u w:color="000000"/>
        </w:rPr>
        <w:t>4</w:t>
      </w:r>
      <w:r>
        <w:rPr>
          <w:rFonts w:hint="eastAsia" w:eastAsia="仿宋_GB2312"/>
          <w:sz w:val="32"/>
          <w:szCs w:val="32"/>
          <w:u w:color="000000"/>
          <w:lang w:val="zh-TW"/>
        </w:rPr>
        <w:t>年12月末，本行已制定3</w:t>
      </w:r>
      <w:r>
        <w:rPr>
          <w:rFonts w:hint="eastAsia" w:eastAsia="仿宋_GB2312"/>
          <w:sz w:val="32"/>
          <w:szCs w:val="32"/>
          <w:u w:color="000000"/>
        </w:rPr>
        <w:t>8</w:t>
      </w:r>
      <w:r>
        <w:rPr>
          <w:rFonts w:hint="eastAsia" w:eastAsia="仿宋_GB2312"/>
          <w:sz w:val="32"/>
          <w:szCs w:val="32"/>
          <w:u w:color="000000"/>
          <w:lang w:val="zh-TW"/>
        </w:rPr>
        <w:t>项与环境相关的制度，其中报告期内新增</w:t>
      </w:r>
      <w:r>
        <w:rPr>
          <w:rFonts w:hint="eastAsia" w:eastAsia="仿宋_GB2312"/>
          <w:sz w:val="32"/>
          <w:szCs w:val="32"/>
          <w:u w:color="000000"/>
        </w:rPr>
        <w:t>4</w:t>
      </w:r>
      <w:r>
        <w:rPr>
          <w:rFonts w:hint="eastAsia" w:eastAsia="仿宋_GB2312"/>
          <w:sz w:val="32"/>
          <w:szCs w:val="32"/>
          <w:u w:color="000000"/>
          <w:lang w:val="zh-TW"/>
        </w:rPr>
        <w:t>项，具体如表2所示。</w:t>
      </w:r>
    </w:p>
    <w:p w14:paraId="286B306E">
      <w:pPr>
        <w:pStyle w:val="27"/>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表2. 安吉农商银行环境政策制度情况表</w:t>
      </w:r>
    </w:p>
    <w:tbl>
      <w:tblPr>
        <w:tblStyle w:val="20"/>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732"/>
        <w:gridCol w:w="1164"/>
        <w:gridCol w:w="725"/>
        <w:gridCol w:w="3861"/>
        <w:gridCol w:w="602"/>
      </w:tblGrid>
      <w:tr w14:paraId="6BE5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32DB671">
            <w:pPr>
              <w:pStyle w:val="27"/>
              <w:spacing w:line="320" w:lineRule="exact"/>
              <w:jc w:val="center"/>
              <w:rPr>
                <w:rFonts w:eastAsia="宋体" w:cs="Times New Roman"/>
                <w:b/>
                <w:color w:val="auto"/>
              </w:rPr>
            </w:pPr>
            <w:r>
              <w:rPr>
                <w:rFonts w:hint="eastAsia" w:eastAsia="宋体" w:cs="Times New Roman"/>
                <w:b/>
                <w:color w:val="auto"/>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7BBCD5A7">
            <w:pPr>
              <w:pStyle w:val="27"/>
              <w:spacing w:line="320" w:lineRule="exact"/>
              <w:jc w:val="center"/>
              <w:rPr>
                <w:rFonts w:eastAsia="宋体" w:cs="Times New Roman"/>
                <w:b/>
                <w:color w:val="auto"/>
                <w:lang w:val="zh-TW"/>
              </w:rPr>
            </w:pPr>
            <w:r>
              <w:rPr>
                <w:rFonts w:eastAsia="宋体" w:cs="Times New Roman"/>
                <w:b/>
                <w:color w:val="auto"/>
                <w:lang w:val="zh-TW"/>
              </w:rPr>
              <w:t>文件名称</w:t>
            </w:r>
          </w:p>
        </w:tc>
        <w:tc>
          <w:tcPr>
            <w:tcW w:w="1164" w:type="dxa"/>
            <w:tcBorders>
              <w:top w:val="single" w:color="auto" w:sz="4" w:space="0"/>
              <w:left w:val="single" w:color="auto" w:sz="4" w:space="0"/>
              <w:bottom w:val="single" w:color="auto" w:sz="4" w:space="0"/>
              <w:right w:val="single" w:color="auto" w:sz="4" w:space="0"/>
            </w:tcBorders>
            <w:vAlign w:val="center"/>
          </w:tcPr>
          <w:p w14:paraId="165D683F">
            <w:pPr>
              <w:pStyle w:val="27"/>
              <w:spacing w:line="320" w:lineRule="exact"/>
              <w:jc w:val="center"/>
              <w:rPr>
                <w:rFonts w:eastAsia="宋体" w:cs="Times New Roman"/>
                <w:b/>
                <w:color w:val="auto"/>
                <w:lang w:val="zh-TW"/>
              </w:rPr>
            </w:pPr>
            <w:r>
              <w:rPr>
                <w:rFonts w:eastAsia="宋体" w:cs="Times New Roman"/>
                <w:b/>
                <w:color w:val="auto"/>
                <w:lang w:val="zh-TW"/>
              </w:rPr>
              <w:t>发文文号</w:t>
            </w:r>
          </w:p>
        </w:tc>
        <w:tc>
          <w:tcPr>
            <w:tcW w:w="725" w:type="dxa"/>
            <w:tcBorders>
              <w:top w:val="single" w:color="auto" w:sz="4" w:space="0"/>
              <w:left w:val="single" w:color="auto" w:sz="4" w:space="0"/>
              <w:bottom w:val="single" w:color="auto" w:sz="4" w:space="0"/>
              <w:right w:val="single" w:color="auto" w:sz="4" w:space="0"/>
            </w:tcBorders>
            <w:vAlign w:val="center"/>
          </w:tcPr>
          <w:p w14:paraId="1875070A">
            <w:pPr>
              <w:pStyle w:val="27"/>
              <w:spacing w:line="320" w:lineRule="exact"/>
              <w:jc w:val="center"/>
              <w:rPr>
                <w:rFonts w:eastAsia="宋体" w:cs="Times New Roman"/>
                <w:b/>
                <w:color w:val="auto"/>
                <w:lang w:val="zh-TW"/>
              </w:rPr>
            </w:pPr>
            <w:r>
              <w:rPr>
                <w:rFonts w:eastAsia="宋体" w:cs="Times New Roman"/>
                <w:b/>
                <w:color w:val="auto"/>
                <w:lang w:val="zh-TW"/>
              </w:rPr>
              <w:t>文件类型</w:t>
            </w:r>
          </w:p>
        </w:tc>
        <w:tc>
          <w:tcPr>
            <w:tcW w:w="3861" w:type="dxa"/>
            <w:tcBorders>
              <w:top w:val="single" w:color="auto" w:sz="4" w:space="0"/>
              <w:left w:val="single" w:color="auto" w:sz="4" w:space="0"/>
              <w:bottom w:val="single" w:color="auto" w:sz="4" w:space="0"/>
              <w:right w:val="single" w:color="auto" w:sz="4" w:space="0"/>
            </w:tcBorders>
            <w:vAlign w:val="center"/>
          </w:tcPr>
          <w:p w14:paraId="5C9BCF6A">
            <w:pPr>
              <w:pStyle w:val="27"/>
              <w:spacing w:line="320" w:lineRule="exact"/>
              <w:jc w:val="center"/>
              <w:rPr>
                <w:rFonts w:eastAsia="宋体" w:cs="Times New Roman"/>
                <w:b/>
                <w:color w:val="auto"/>
                <w:lang w:val="zh-TW"/>
              </w:rPr>
            </w:pPr>
            <w:r>
              <w:rPr>
                <w:rFonts w:eastAsia="宋体" w:cs="Times New Roman"/>
                <w:b/>
                <w:color w:val="auto"/>
                <w:lang w:val="zh-TW"/>
              </w:rPr>
              <w:t>文件主要内容</w:t>
            </w:r>
          </w:p>
        </w:tc>
        <w:tc>
          <w:tcPr>
            <w:tcW w:w="602" w:type="dxa"/>
            <w:tcBorders>
              <w:top w:val="single" w:color="auto" w:sz="4" w:space="0"/>
              <w:left w:val="single" w:color="auto" w:sz="4" w:space="0"/>
              <w:bottom w:val="single" w:color="auto" w:sz="4" w:space="0"/>
              <w:right w:val="single" w:color="auto" w:sz="4" w:space="0"/>
            </w:tcBorders>
            <w:vAlign w:val="center"/>
          </w:tcPr>
          <w:p w14:paraId="60710BF8">
            <w:pPr>
              <w:pStyle w:val="27"/>
              <w:spacing w:line="320" w:lineRule="exact"/>
              <w:jc w:val="center"/>
              <w:rPr>
                <w:rFonts w:eastAsia="宋体" w:cs="Times New Roman"/>
                <w:b/>
                <w:color w:val="auto"/>
                <w:lang w:val="zh-TW"/>
              </w:rPr>
            </w:pPr>
            <w:r>
              <w:rPr>
                <w:rFonts w:eastAsia="宋体" w:cs="Times New Roman"/>
                <w:b/>
                <w:color w:val="auto"/>
                <w:lang w:val="zh-TW"/>
              </w:rPr>
              <w:t>备注</w:t>
            </w:r>
          </w:p>
        </w:tc>
      </w:tr>
      <w:tr w14:paraId="7EFA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CAE30FC">
            <w:pPr>
              <w:pStyle w:val="44"/>
              <w:rPr>
                <w:rFonts w:ascii="Times New Roman" w:hAnsi="Times New Roman" w:eastAsia="宋体"/>
                <w:sz w:val="21"/>
                <w:szCs w:val="21"/>
                <w:lang w:val="en-US"/>
              </w:rPr>
            </w:pPr>
            <w:r>
              <w:rPr>
                <w:rFonts w:hint="eastAsia" w:ascii="Times New Roman" w:hAnsi="Times New Roman" w:eastAsia="宋体"/>
                <w:sz w:val="21"/>
                <w:szCs w:val="21"/>
                <w:lang w:val="en-US"/>
              </w:rPr>
              <w:t>1</w:t>
            </w:r>
          </w:p>
        </w:tc>
        <w:tc>
          <w:tcPr>
            <w:tcW w:w="1732" w:type="dxa"/>
            <w:tcBorders>
              <w:top w:val="single" w:color="auto" w:sz="4" w:space="0"/>
              <w:left w:val="single" w:color="auto" w:sz="4" w:space="0"/>
              <w:bottom w:val="single" w:color="auto" w:sz="4" w:space="0"/>
              <w:right w:val="single" w:color="auto" w:sz="4" w:space="0"/>
            </w:tcBorders>
            <w:vAlign w:val="center"/>
          </w:tcPr>
          <w:p w14:paraId="519A1DDF">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《浙江安吉农村商业银行股份有限公司绿色信贷分类管理办法（试行）》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2078C430">
            <w:pPr>
              <w:pStyle w:val="44"/>
              <w:rPr>
                <w:rFonts w:ascii="Times New Roman" w:hAnsi="Times New Roman" w:eastAsia="宋体"/>
                <w:sz w:val="21"/>
                <w:szCs w:val="21"/>
              </w:rPr>
            </w:pPr>
            <w:r>
              <w:rPr>
                <w:rFonts w:ascii="Times New Roman" w:hAnsi="Times New Roman" w:eastAsia="宋体"/>
                <w:sz w:val="21"/>
                <w:szCs w:val="21"/>
              </w:rPr>
              <w:t>安农商银〔2017〕230号</w:t>
            </w:r>
          </w:p>
        </w:tc>
        <w:tc>
          <w:tcPr>
            <w:tcW w:w="725" w:type="dxa"/>
            <w:tcBorders>
              <w:top w:val="single" w:color="auto" w:sz="4" w:space="0"/>
              <w:left w:val="single" w:color="auto" w:sz="4" w:space="0"/>
              <w:bottom w:val="single" w:color="auto" w:sz="4" w:space="0"/>
              <w:right w:val="single" w:color="auto" w:sz="4" w:space="0"/>
            </w:tcBorders>
            <w:vAlign w:val="center"/>
          </w:tcPr>
          <w:p w14:paraId="540B268D">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4AD2C324">
            <w:pPr>
              <w:pStyle w:val="44"/>
              <w:ind w:firstLine="422"/>
              <w:jc w:val="both"/>
              <w:rPr>
                <w:rFonts w:ascii="Times New Roman" w:hAnsi="Times New Roman" w:eastAsia="宋体"/>
                <w:sz w:val="21"/>
                <w:szCs w:val="21"/>
              </w:rPr>
            </w:pPr>
            <w:r>
              <w:rPr>
                <w:rFonts w:ascii="Times New Roman" w:hAnsi="Times New Roman" w:eastAsia="宋体"/>
                <w:sz w:val="21"/>
                <w:szCs w:val="21"/>
              </w:rPr>
              <w:t>依据授信客户对环境和社会表现的优劣，对企业授信客户进行“绿色友好类、蓝色基础类、橙色关注类、红色退出类”四色分类。对分类后的信贷客户从授信准入、贷款额度、利率执行等方面实行区别化管理。</w:t>
            </w:r>
          </w:p>
        </w:tc>
        <w:tc>
          <w:tcPr>
            <w:tcW w:w="602" w:type="dxa"/>
            <w:tcBorders>
              <w:top w:val="single" w:color="auto" w:sz="4" w:space="0"/>
              <w:left w:val="single" w:color="auto" w:sz="4" w:space="0"/>
              <w:bottom w:val="single" w:color="auto" w:sz="4" w:space="0"/>
              <w:right w:val="single" w:color="auto" w:sz="4" w:space="0"/>
            </w:tcBorders>
            <w:vAlign w:val="center"/>
          </w:tcPr>
          <w:p w14:paraId="129526B4">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1C4F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D02E8E4">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w:t>
            </w:r>
          </w:p>
        </w:tc>
        <w:tc>
          <w:tcPr>
            <w:tcW w:w="1732" w:type="dxa"/>
            <w:tcBorders>
              <w:top w:val="single" w:color="auto" w:sz="4" w:space="0"/>
              <w:left w:val="single" w:color="auto" w:sz="4" w:space="0"/>
              <w:bottom w:val="single" w:color="auto" w:sz="4" w:space="0"/>
              <w:right w:val="single" w:color="auto" w:sz="4" w:space="0"/>
            </w:tcBorders>
            <w:vAlign w:val="center"/>
          </w:tcPr>
          <w:p w14:paraId="23AD6EB0">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《浙江安吉农村商业银行股份有限公司绿色信贷全流程管理操作手册》</w:t>
            </w:r>
          </w:p>
        </w:tc>
        <w:tc>
          <w:tcPr>
            <w:tcW w:w="1164" w:type="dxa"/>
            <w:tcBorders>
              <w:top w:val="single" w:color="auto" w:sz="4" w:space="0"/>
              <w:left w:val="single" w:color="auto" w:sz="4" w:space="0"/>
              <w:bottom w:val="single" w:color="auto" w:sz="4" w:space="0"/>
              <w:right w:val="single" w:color="auto" w:sz="4" w:space="0"/>
            </w:tcBorders>
            <w:vAlign w:val="center"/>
          </w:tcPr>
          <w:p w14:paraId="4F7C1327">
            <w:pPr>
              <w:pStyle w:val="44"/>
              <w:rPr>
                <w:rFonts w:ascii="Times New Roman" w:hAnsi="Times New Roman" w:eastAsia="宋体"/>
                <w:sz w:val="21"/>
                <w:szCs w:val="21"/>
              </w:rPr>
            </w:pPr>
            <w:r>
              <w:rPr>
                <w:rFonts w:ascii="Times New Roman" w:hAnsi="Times New Roman" w:eastAsia="宋体"/>
                <w:sz w:val="21"/>
                <w:szCs w:val="21"/>
              </w:rPr>
              <w:t>安农商银〔2018〕379号</w:t>
            </w:r>
          </w:p>
        </w:tc>
        <w:tc>
          <w:tcPr>
            <w:tcW w:w="725" w:type="dxa"/>
            <w:tcBorders>
              <w:top w:val="single" w:color="auto" w:sz="4" w:space="0"/>
              <w:left w:val="single" w:color="auto" w:sz="4" w:space="0"/>
              <w:bottom w:val="single" w:color="auto" w:sz="4" w:space="0"/>
              <w:right w:val="single" w:color="auto" w:sz="4" w:space="0"/>
            </w:tcBorders>
            <w:vAlign w:val="center"/>
          </w:tcPr>
          <w:p w14:paraId="65F7A85E">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6902F8E2">
            <w:pPr>
              <w:pStyle w:val="44"/>
              <w:ind w:firstLine="422"/>
              <w:jc w:val="both"/>
              <w:rPr>
                <w:rFonts w:ascii="Times New Roman" w:hAnsi="Times New Roman" w:eastAsia="宋体"/>
                <w:sz w:val="21"/>
                <w:szCs w:val="21"/>
              </w:rPr>
            </w:pPr>
            <w:r>
              <w:rPr>
                <w:rFonts w:ascii="Times New Roman" w:hAnsi="Times New Roman" w:eastAsia="宋体"/>
                <w:sz w:val="21"/>
                <w:szCs w:val="21"/>
              </w:rPr>
              <w:t>以环境与社会风险管理为导向，建立绿色信贷全流程管理，从授信准入到用信考评全程贯穿对绿色企业评级以及绿色信贷的审核，实现绿色信贷的精准投放。</w:t>
            </w:r>
          </w:p>
        </w:tc>
        <w:tc>
          <w:tcPr>
            <w:tcW w:w="602" w:type="dxa"/>
            <w:tcBorders>
              <w:top w:val="single" w:color="auto" w:sz="4" w:space="0"/>
              <w:left w:val="single" w:color="auto" w:sz="4" w:space="0"/>
              <w:bottom w:val="single" w:color="auto" w:sz="4" w:space="0"/>
              <w:right w:val="single" w:color="auto" w:sz="4" w:space="0"/>
            </w:tcBorders>
            <w:vAlign w:val="center"/>
          </w:tcPr>
          <w:p w14:paraId="3212F508">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4F02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E147DFA">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w:t>
            </w:r>
          </w:p>
        </w:tc>
        <w:tc>
          <w:tcPr>
            <w:tcW w:w="1732" w:type="dxa"/>
            <w:tcBorders>
              <w:top w:val="single" w:color="auto" w:sz="4" w:space="0"/>
              <w:left w:val="single" w:color="auto" w:sz="4" w:space="0"/>
              <w:bottom w:val="single" w:color="auto" w:sz="4" w:space="0"/>
              <w:right w:val="single" w:color="auto" w:sz="4" w:space="0"/>
            </w:tcBorders>
            <w:vAlign w:val="center"/>
          </w:tcPr>
          <w:p w14:paraId="1331A7AE">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《浙江安吉农村商业银行股份有限公司“绿色信用贷”贷款管理办法（试行）》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72FA791A">
            <w:pPr>
              <w:pStyle w:val="44"/>
              <w:rPr>
                <w:rFonts w:ascii="Times New Roman" w:hAnsi="Times New Roman" w:eastAsia="宋体"/>
                <w:sz w:val="21"/>
                <w:szCs w:val="21"/>
              </w:rPr>
            </w:pPr>
            <w:r>
              <w:rPr>
                <w:rFonts w:ascii="Times New Roman" w:hAnsi="Times New Roman" w:eastAsia="宋体"/>
                <w:sz w:val="21"/>
                <w:szCs w:val="21"/>
              </w:rPr>
              <w:t>安农商银〔2019〕89号</w:t>
            </w:r>
          </w:p>
        </w:tc>
        <w:tc>
          <w:tcPr>
            <w:tcW w:w="725" w:type="dxa"/>
            <w:tcBorders>
              <w:top w:val="single" w:color="auto" w:sz="4" w:space="0"/>
              <w:left w:val="single" w:color="auto" w:sz="4" w:space="0"/>
              <w:bottom w:val="single" w:color="auto" w:sz="4" w:space="0"/>
              <w:right w:val="single" w:color="auto" w:sz="4" w:space="0"/>
            </w:tcBorders>
            <w:vAlign w:val="center"/>
          </w:tcPr>
          <w:p w14:paraId="0E04D1CF">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69F1B34F">
            <w:pPr>
              <w:pStyle w:val="44"/>
              <w:ind w:firstLine="422"/>
              <w:jc w:val="both"/>
              <w:rPr>
                <w:rFonts w:ascii="Times New Roman" w:hAnsi="Times New Roman" w:eastAsia="宋体"/>
                <w:sz w:val="21"/>
                <w:szCs w:val="21"/>
              </w:rPr>
            </w:pPr>
            <w:r>
              <w:rPr>
                <w:rFonts w:ascii="Times New Roman" w:hAnsi="Times New Roman" w:eastAsia="宋体"/>
                <w:sz w:val="21"/>
                <w:szCs w:val="21"/>
              </w:rPr>
              <w:t>通过采集辖内客户垃圾分类、绿色出行、绿色公益、绿色支付、自助业务办理等绿色行为习性，建立“个人绿色积分体系”，在此基础上推出“绿色信用贷”产品。以“浙里贷”平台为载体、通过批量授信为持有“个人绿色积分”的客户主动授信，鼓励贷款投向绿色消费，推动“生态、生产、生活”融合发展。</w:t>
            </w:r>
          </w:p>
        </w:tc>
        <w:tc>
          <w:tcPr>
            <w:tcW w:w="602" w:type="dxa"/>
            <w:tcBorders>
              <w:top w:val="single" w:color="auto" w:sz="4" w:space="0"/>
              <w:left w:val="single" w:color="auto" w:sz="4" w:space="0"/>
              <w:bottom w:val="single" w:color="auto" w:sz="4" w:space="0"/>
              <w:right w:val="single" w:color="auto" w:sz="4" w:space="0"/>
            </w:tcBorders>
            <w:vAlign w:val="center"/>
          </w:tcPr>
          <w:p w14:paraId="7878D7FB">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4202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32CA4F5">
            <w:pPr>
              <w:pStyle w:val="44"/>
              <w:rPr>
                <w:rFonts w:ascii="Times New Roman" w:hAnsi="Times New Roman" w:eastAsia="宋体"/>
                <w:sz w:val="21"/>
                <w:szCs w:val="21"/>
                <w:lang w:val="en-US"/>
              </w:rPr>
            </w:pPr>
            <w:r>
              <w:rPr>
                <w:rFonts w:hint="eastAsia" w:ascii="Times New Roman" w:hAnsi="Times New Roman" w:eastAsia="宋体"/>
                <w:sz w:val="21"/>
                <w:szCs w:val="21"/>
                <w:lang w:val="en-US"/>
              </w:rPr>
              <w:t>4</w:t>
            </w:r>
          </w:p>
        </w:tc>
        <w:tc>
          <w:tcPr>
            <w:tcW w:w="1732" w:type="dxa"/>
            <w:tcBorders>
              <w:top w:val="single" w:color="auto" w:sz="4" w:space="0"/>
              <w:left w:val="single" w:color="auto" w:sz="4" w:space="0"/>
              <w:bottom w:val="single" w:color="auto" w:sz="4" w:space="0"/>
              <w:right w:val="single" w:color="auto" w:sz="4" w:space="0"/>
            </w:tcBorders>
            <w:vAlign w:val="center"/>
          </w:tcPr>
          <w:p w14:paraId="52C128F7">
            <w:pPr>
              <w:pStyle w:val="44"/>
              <w:ind w:firstLine="422"/>
              <w:jc w:val="both"/>
              <w:rPr>
                <w:rFonts w:ascii="Times New Roman" w:hAnsi="Times New Roman" w:eastAsia="宋体"/>
                <w:sz w:val="21"/>
                <w:szCs w:val="21"/>
              </w:rPr>
            </w:pPr>
            <w:r>
              <w:rPr>
                <w:rFonts w:ascii="Times New Roman" w:hAnsi="Times New Roman" w:eastAsia="宋体"/>
                <w:sz w:val="21"/>
                <w:szCs w:val="21"/>
              </w:rPr>
              <w:t>《关于面向个人大额经营性贷款客户开展环境和社会风险评估的通知》</w:t>
            </w:r>
          </w:p>
        </w:tc>
        <w:tc>
          <w:tcPr>
            <w:tcW w:w="1164" w:type="dxa"/>
            <w:tcBorders>
              <w:top w:val="single" w:color="auto" w:sz="4" w:space="0"/>
              <w:left w:val="single" w:color="auto" w:sz="4" w:space="0"/>
              <w:bottom w:val="single" w:color="auto" w:sz="4" w:space="0"/>
              <w:right w:val="single" w:color="auto" w:sz="4" w:space="0"/>
            </w:tcBorders>
            <w:vAlign w:val="center"/>
          </w:tcPr>
          <w:p w14:paraId="574D5D07">
            <w:pPr>
              <w:pStyle w:val="44"/>
              <w:rPr>
                <w:rFonts w:ascii="Times New Roman" w:hAnsi="Times New Roman" w:eastAsia="宋体"/>
                <w:sz w:val="21"/>
                <w:szCs w:val="21"/>
              </w:rPr>
            </w:pPr>
            <w:r>
              <w:rPr>
                <w:rFonts w:ascii="Times New Roman" w:hAnsi="Times New Roman" w:eastAsia="宋体"/>
                <w:sz w:val="21"/>
                <w:szCs w:val="21"/>
              </w:rPr>
              <w:t>安农商银办便函〔2019〕132号</w:t>
            </w:r>
          </w:p>
        </w:tc>
        <w:tc>
          <w:tcPr>
            <w:tcW w:w="725" w:type="dxa"/>
            <w:tcBorders>
              <w:top w:val="single" w:color="auto" w:sz="4" w:space="0"/>
              <w:left w:val="single" w:color="auto" w:sz="4" w:space="0"/>
              <w:bottom w:val="single" w:color="auto" w:sz="4" w:space="0"/>
              <w:right w:val="single" w:color="auto" w:sz="4" w:space="0"/>
            </w:tcBorders>
            <w:vAlign w:val="center"/>
          </w:tcPr>
          <w:p w14:paraId="4DF6B274">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0C28EEF9">
            <w:pPr>
              <w:pStyle w:val="44"/>
              <w:ind w:firstLine="422"/>
              <w:jc w:val="both"/>
              <w:rPr>
                <w:rFonts w:ascii="Times New Roman" w:hAnsi="Times New Roman" w:eastAsia="宋体"/>
                <w:sz w:val="21"/>
                <w:szCs w:val="21"/>
              </w:rPr>
            </w:pPr>
            <w:r>
              <w:rPr>
                <w:rFonts w:ascii="Times New Roman" w:hAnsi="Times New Roman" w:eastAsia="宋体"/>
                <w:sz w:val="21"/>
                <w:szCs w:val="21"/>
              </w:rPr>
              <w:t>将绿色普惠服务对象延伸至自然人客户，针对个人大额经营性贷款开展环境和社会风险评估，根据环境与社会风险实地调查的结果，结合行业投向和贷款用途对个人客户进行“绿色友好、蓝色基础、橙色关注、红色退出”四色分类，分层管理，区别服务。</w:t>
            </w:r>
          </w:p>
        </w:tc>
        <w:tc>
          <w:tcPr>
            <w:tcW w:w="602" w:type="dxa"/>
            <w:tcBorders>
              <w:top w:val="single" w:color="auto" w:sz="4" w:space="0"/>
              <w:left w:val="single" w:color="auto" w:sz="4" w:space="0"/>
              <w:bottom w:val="single" w:color="auto" w:sz="4" w:space="0"/>
              <w:right w:val="single" w:color="auto" w:sz="4" w:space="0"/>
            </w:tcBorders>
            <w:vAlign w:val="center"/>
          </w:tcPr>
          <w:p w14:paraId="19649057">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76B4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44C69D5">
            <w:pPr>
              <w:pStyle w:val="44"/>
              <w:rPr>
                <w:rFonts w:ascii="Times New Roman" w:hAnsi="Times New Roman" w:eastAsia="宋体"/>
                <w:sz w:val="21"/>
                <w:szCs w:val="21"/>
                <w:lang w:val="en-US"/>
              </w:rPr>
            </w:pPr>
            <w:r>
              <w:rPr>
                <w:rFonts w:hint="eastAsia" w:ascii="Times New Roman" w:hAnsi="Times New Roman" w:eastAsia="宋体"/>
                <w:sz w:val="21"/>
                <w:szCs w:val="21"/>
                <w:lang w:val="en-US"/>
              </w:rPr>
              <w:t>5</w:t>
            </w:r>
          </w:p>
        </w:tc>
        <w:tc>
          <w:tcPr>
            <w:tcW w:w="1732" w:type="dxa"/>
            <w:tcBorders>
              <w:top w:val="single" w:color="auto" w:sz="4" w:space="0"/>
              <w:left w:val="single" w:color="auto" w:sz="4" w:space="0"/>
              <w:bottom w:val="single" w:color="auto" w:sz="4" w:space="0"/>
              <w:right w:val="single" w:color="auto" w:sz="4" w:space="0"/>
            </w:tcBorders>
            <w:vAlign w:val="center"/>
          </w:tcPr>
          <w:p w14:paraId="628501E5">
            <w:pPr>
              <w:pStyle w:val="44"/>
              <w:ind w:firstLine="422"/>
              <w:jc w:val="both"/>
              <w:rPr>
                <w:rFonts w:ascii="Times New Roman" w:hAnsi="Times New Roman" w:eastAsia="宋体"/>
                <w:sz w:val="21"/>
                <w:szCs w:val="21"/>
              </w:rPr>
            </w:pPr>
            <w:r>
              <w:rPr>
                <w:rFonts w:ascii="Times New Roman" w:hAnsi="Times New Roman" w:eastAsia="宋体"/>
                <w:sz w:val="21"/>
                <w:szCs w:val="21"/>
              </w:rPr>
              <w:t>《关于在借款合同中约定环境与社会风险责任条款事项的通知》</w:t>
            </w:r>
          </w:p>
        </w:tc>
        <w:tc>
          <w:tcPr>
            <w:tcW w:w="1164" w:type="dxa"/>
            <w:tcBorders>
              <w:top w:val="single" w:color="auto" w:sz="4" w:space="0"/>
              <w:left w:val="single" w:color="auto" w:sz="4" w:space="0"/>
              <w:bottom w:val="single" w:color="auto" w:sz="4" w:space="0"/>
              <w:right w:val="single" w:color="auto" w:sz="4" w:space="0"/>
            </w:tcBorders>
            <w:vAlign w:val="center"/>
          </w:tcPr>
          <w:p w14:paraId="23A68F27">
            <w:pPr>
              <w:pStyle w:val="44"/>
              <w:rPr>
                <w:rFonts w:ascii="Times New Roman" w:hAnsi="Times New Roman" w:eastAsia="宋体"/>
                <w:sz w:val="21"/>
                <w:szCs w:val="21"/>
              </w:rPr>
            </w:pPr>
            <w:r>
              <w:rPr>
                <w:rFonts w:ascii="Times New Roman" w:hAnsi="Times New Roman" w:eastAsia="宋体"/>
                <w:sz w:val="21"/>
                <w:szCs w:val="21"/>
              </w:rPr>
              <w:t>安农商银办便函〔2019〕162号</w:t>
            </w:r>
          </w:p>
        </w:tc>
        <w:tc>
          <w:tcPr>
            <w:tcW w:w="725" w:type="dxa"/>
            <w:tcBorders>
              <w:top w:val="single" w:color="auto" w:sz="4" w:space="0"/>
              <w:left w:val="single" w:color="auto" w:sz="4" w:space="0"/>
              <w:bottom w:val="single" w:color="auto" w:sz="4" w:space="0"/>
              <w:right w:val="single" w:color="auto" w:sz="4" w:space="0"/>
            </w:tcBorders>
            <w:vAlign w:val="center"/>
          </w:tcPr>
          <w:p w14:paraId="47CE804B">
            <w:pPr>
              <w:pStyle w:val="44"/>
              <w:rPr>
                <w:rFonts w:ascii="Times New Roman" w:hAnsi="Times New Roman" w:eastAsia="宋体"/>
                <w:sz w:val="21"/>
                <w:szCs w:val="21"/>
              </w:rPr>
            </w:pPr>
            <w:r>
              <w:rPr>
                <w:rFonts w:ascii="Times New Roman" w:hAnsi="Times New Roman" w:eastAsia="宋体"/>
                <w:sz w:val="21"/>
                <w:szCs w:val="21"/>
              </w:rPr>
              <w:t>操作要求</w:t>
            </w:r>
          </w:p>
        </w:tc>
        <w:tc>
          <w:tcPr>
            <w:tcW w:w="3861" w:type="dxa"/>
            <w:tcBorders>
              <w:top w:val="single" w:color="auto" w:sz="4" w:space="0"/>
              <w:left w:val="single" w:color="auto" w:sz="4" w:space="0"/>
              <w:bottom w:val="single" w:color="auto" w:sz="4" w:space="0"/>
              <w:right w:val="single" w:color="auto" w:sz="4" w:space="0"/>
            </w:tcBorders>
            <w:vAlign w:val="center"/>
          </w:tcPr>
          <w:p w14:paraId="581C8EC4">
            <w:pPr>
              <w:pStyle w:val="44"/>
              <w:ind w:firstLine="422"/>
              <w:jc w:val="both"/>
              <w:rPr>
                <w:rFonts w:ascii="Times New Roman" w:hAnsi="Times New Roman" w:eastAsia="宋体"/>
                <w:sz w:val="21"/>
                <w:szCs w:val="21"/>
              </w:rPr>
            </w:pPr>
            <w:r>
              <w:rPr>
                <w:rFonts w:ascii="Times New Roman" w:hAnsi="Times New Roman" w:eastAsia="宋体"/>
                <w:sz w:val="21"/>
                <w:szCs w:val="21"/>
              </w:rPr>
              <w:t>针对企业客户及大额经营性个人客户，客户经理在与客户签订借款合同时与客户阐述环境与社会风险责任的重要性，并在借款合同中与客户约定相应条款事项。</w:t>
            </w:r>
          </w:p>
        </w:tc>
        <w:tc>
          <w:tcPr>
            <w:tcW w:w="602" w:type="dxa"/>
            <w:tcBorders>
              <w:top w:val="single" w:color="auto" w:sz="4" w:space="0"/>
              <w:left w:val="single" w:color="auto" w:sz="4" w:space="0"/>
              <w:bottom w:val="single" w:color="auto" w:sz="4" w:space="0"/>
              <w:right w:val="single" w:color="auto" w:sz="4" w:space="0"/>
            </w:tcBorders>
            <w:vAlign w:val="center"/>
          </w:tcPr>
          <w:p w14:paraId="5A9DE705">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1E53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5D09887">
            <w:pPr>
              <w:pStyle w:val="44"/>
              <w:rPr>
                <w:rFonts w:ascii="Times New Roman" w:hAnsi="Times New Roman" w:eastAsia="宋体"/>
                <w:sz w:val="21"/>
                <w:szCs w:val="21"/>
                <w:lang w:val="en-US"/>
              </w:rPr>
            </w:pPr>
            <w:r>
              <w:rPr>
                <w:rFonts w:hint="eastAsia" w:ascii="Times New Roman" w:hAnsi="Times New Roman" w:eastAsia="宋体"/>
                <w:sz w:val="21"/>
                <w:szCs w:val="21"/>
                <w:lang w:val="en-US"/>
              </w:rPr>
              <w:t>6</w:t>
            </w:r>
          </w:p>
        </w:tc>
        <w:tc>
          <w:tcPr>
            <w:tcW w:w="1732" w:type="dxa"/>
            <w:tcBorders>
              <w:top w:val="single" w:color="auto" w:sz="4" w:space="0"/>
              <w:left w:val="single" w:color="auto" w:sz="4" w:space="0"/>
              <w:bottom w:val="single" w:color="auto" w:sz="4" w:space="0"/>
              <w:right w:val="single" w:color="auto" w:sz="4" w:space="0"/>
            </w:tcBorders>
            <w:vAlign w:val="center"/>
          </w:tcPr>
          <w:p w14:paraId="2E781FC7">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《浙江安吉农村商业银行股份有限公司授信审批权限规定》</w:t>
            </w:r>
          </w:p>
        </w:tc>
        <w:tc>
          <w:tcPr>
            <w:tcW w:w="1164" w:type="dxa"/>
            <w:tcBorders>
              <w:top w:val="single" w:color="auto" w:sz="4" w:space="0"/>
              <w:left w:val="single" w:color="auto" w:sz="4" w:space="0"/>
              <w:bottom w:val="single" w:color="auto" w:sz="4" w:space="0"/>
              <w:right w:val="single" w:color="auto" w:sz="4" w:space="0"/>
            </w:tcBorders>
            <w:vAlign w:val="center"/>
          </w:tcPr>
          <w:p w14:paraId="5167D9A0">
            <w:pPr>
              <w:pStyle w:val="44"/>
              <w:rPr>
                <w:rFonts w:ascii="Times New Roman" w:hAnsi="Times New Roman" w:eastAsia="宋体"/>
                <w:sz w:val="21"/>
                <w:szCs w:val="21"/>
              </w:rPr>
            </w:pPr>
            <w:r>
              <w:rPr>
                <w:rFonts w:ascii="Times New Roman" w:hAnsi="Times New Roman" w:eastAsia="宋体"/>
                <w:sz w:val="21"/>
                <w:szCs w:val="21"/>
              </w:rPr>
              <w:t>安农商银〔2019〕303号</w:t>
            </w:r>
          </w:p>
        </w:tc>
        <w:tc>
          <w:tcPr>
            <w:tcW w:w="725" w:type="dxa"/>
            <w:tcBorders>
              <w:top w:val="single" w:color="auto" w:sz="4" w:space="0"/>
              <w:left w:val="single" w:color="auto" w:sz="4" w:space="0"/>
              <w:bottom w:val="single" w:color="auto" w:sz="4" w:space="0"/>
              <w:right w:val="single" w:color="auto" w:sz="4" w:space="0"/>
            </w:tcBorders>
            <w:vAlign w:val="center"/>
          </w:tcPr>
          <w:p w14:paraId="1814C225">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6F68B1F2">
            <w:pPr>
              <w:pStyle w:val="44"/>
              <w:ind w:firstLine="422"/>
              <w:jc w:val="both"/>
              <w:rPr>
                <w:rFonts w:ascii="Times New Roman" w:hAnsi="Times New Roman" w:eastAsia="宋体"/>
                <w:sz w:val="21"/>
                <w:szCs w:val="21"/>
              </w:rPr>
            </w:pPr>
            <w:r>
              <w:rPr>
                <w:rFonts w:ascii="Times New Roman" w:hAnsi="Times New Roman" w:eastAsia="宋体"/>
                <w:sz w:val="21"/>
                <w:szCs w:val="21"/>
              </w:rPr>
              <w:t>规定支行授信审批权限，特别上调绿色专营支行、绿色贷款、绿色友好类企业授信报批权限，鼓励支行将信贷资源优先支持环境友好型客户，加大绿色信贷的投放力度，倡导本行信贷资产向绿色化转型。</w:t>
            </w:r>
          </w:p>
        </w:tc>
        <w:tc>
          <w:tcPr>
            <w:tcW w:w="602" w:type="dxa"/>
            <w:tcBorders>
              <w:top w:val="single" w:color="auto" w:sz="4" w:space="0"/>
              <w:left w:val="single" w:color="auto" w:sz="4" w:space="0"/>
              <w:bottom w:val="single" w:color="auto" w:sz="4" w:space="0"/>
              <w:right w:val="single" w:color="auto" w:sz="4" w:space="0"/>
            </w:tcBorders>
            <w:vAlign w:val="center"/>
          </w:tcPr>
          <w:p w14:paraId="1E7F8D13">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69E1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EAB2D35">
            <w:pPr>
              <w:pStyle w:val="44"/>
              <w:rPr>
                <w:rFonts w:ascii="Times New Roman" w:hAnsi="Times New Roman" w:eastAsia="宋体"/>
                <w:sz w:val="21"/>
                <w:szCs w:val="21"/>
                <w:lang w:val="en-US"/>
              </w:rPr>
            </w:pPr>
            <w:r>
              <w:rPr>
                <w:rFonts w:hint="eastAsia" w:ascii="Times New Roman" w:hAnsi="Times New Roman" w:eastAsia="宋体"/>
                <w:sz w:val="21"/>
                <w:szCs w:val="21"/>
                <w:lang w:val="en-US"/>
              </w:rPr>
              <w:t>7</w:t>
            </w:r>
          </w:p>
        </w:tc>
        <w:tc>
          <w:tcPr>
            <w:tcW w:w="1732" w:type="dxa"/>
            <w:tcBorders>
              <w:top w:val="single" w:color="auto" w:sz="4" w:space="0"/>
              <w:left w:val="single" w:color="auto" w:sz="4" w:space="0"/>
              <w:bottom w:val="single" w:color="auto" w:sz="4" w:space="0"/>
              <w:right w:val="single" w:color="auto" w:sz="4" w:space="0"/>
            </w:tcBorders>
            <w:vAlign w:val="center"/>
          </w:tcPr>
          <w:p w14:paraId="57F20020">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《浙江安吉农村商业银行股份有限公司绿色运营管理办法》</w:t>
            </w:r>
          </w:p>
        </w:tc>
        <w:tc>
          <w:tcPr>
            <w:tcW w:w="1164" w:type="dxa"/>
            <w:tcBorders>
              <w:top w:val="single" w:color="auto" w:sz="4" w:space="0"/>
              <w:left w:val="single" w:color="auto" w:sz="4" w:space="0"/>
              <w:bottom w:val="single" w:color="auto" w:sz="4" w:space="0"/>
              <w:right w:val="single" w:color="auto" w:sz="4" w:space="0"/>
            </w:tcBorders>
            <w:vAlign w:val="center"/>
          </w:tcPr>
          <w:p w14:paraId="79FBBC77">
            <w:pPr>
              <w:pStyle w:val="44"/>
              <w:rPr>
                <w:rFonts w:ascii="Times New Roman" w:hAnsi="Times New Roman" w:eastAsia="宋体"/>
                <w:sz w:val="21"/>
                <w:szCs w:val="21"/>
              </w:rPr>
            </w:pPr>
            <w:r>
              <w:rPr>
                <w:rFonts w:ascii="Times New Roman" w:hAnsi="Times New Roman" w:eastAsia="宋体"/>
                <w:sz w:val="21"/>
                <w:szCs w:val="21"/>
              </w:rPr>
              <w:t>安农商银〔2019〕501号</w:t>
            </w:r>
          </w:p>
        </w:tc>
        <w:tc>
          <w:tcPr>
            <w:tcW w:w="725" w:type="dxa"/>
            <w:tcBorders>
              <w:top w:val="single" w:color="auto" w:sz="4" w:space="0"/>
              <w:left w:val="single" w:color="auto" w:sz="4" w:space="0"/>
              <w:bottom w:val="single" w:color="auto" w:sz="4" w:space="0"/>
              <w:right w:val="single" w:color="auto" w:sz="4" w:space="0"/>
            </w:tcBorders>
            <w:vAlign w:val="center"/>
          </w:tcPr>
          <w:p w14:paraId="497A1033">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6ACC4ED0">
            <w:pPr>
              <w:pStyle w:val="44"/>
              <w:ind w:firstLine="422"/>
              <w:jc w:val="both"/>
              <w:rPr>
                <w:rFonts w:ascii="Times New Roman" w:hAnsi="Times New Roman" w:eastAsia="宋体"/>
                <w:sz w:val="21"/>
                <w:szCs w:val="21"/>
              </w:rPr>
            </w:pPr>
            <w:r>
              <w:rPr>
                <w:rFonts w:ascii="Times New Roman" w:hAnsi="Times New Roman" w:eastAsia="宋体"/>
                <w:sz w:val="21"/>
                <w:szCs w:val="21"/>
              </w:rPr>
              <w:t>从“绿色办公”、“低碳出行”、“节约资源”、“绿色公益”等方面加强绿色文化建设，增强“绿色、低碳、节能”意识，引导员工树立开展绿色生活，创造绿色办公环境。</w:t>
            </w:r>
          </w:p>
        </w:tc>
        <w:tc>
          <w:tcPr>
            <w:tcW w:w="602" w:type="dxa"/>
            <w:tcBorders>
              <w:top w:val="single" w:color="auto" w:sz="4" w:space="0"/>
              <w:left w:val="single" w:color="auto" w:sz="4" w:space="0"/>
              <w:bottom w:val="single" w:color="auto" w:sz="4" w:space="0"/>
              <w:right w:val="single" w:color="auto" w:sz="4" w:space="0"/>
            </w:tcBorders>
            <w:vAlign w:val="center"/>
          </w:tcPr>
          <w:p w14:paraId="3AF87D0C">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C19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CA814A8">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8</w:t>
            </w:r>
          </w:p>
        </w:tc>
        <w:tc>
          <w:tcPr>
            <w:tcW w:w="1732" w:type="dxa"/>
            <w:tcBorders>
              <w:top w:val="single" w:color="auto" w:sz="4" w:space="0"/>
              <w:left w:val="single" w:color="auto" w:sz="4" w:space="0"/>
              <w:bottom w:val="single" w:color="auto" w:sz="4" w:space="0"/>
              <w:right w:val="single" w:color="auto" w:sz="4" w:space="0"/>
            </w:tcBorders>
            <w:vAlign w:val="center"/>
          </w:tcPr>
          <w:p w14:paraId="772D27A7">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《浙江安吉农村商业银行股份有限公司绿色办公实施方案》</w:t>
            </w:r>
          </w:p>
        </w:tc>
        <w:tc>
          <w:tcPr>
            <w:tcW w:w="1164" w:type="dxa"/>
            <w:tcBorders>
              <w:top w:val="single" w:color="auto" w:sz="4" w:space="0"/>
              <w:left w:val="single" w:color="auto" w:sz="4" w:space="0"/>
              <w:bottom w:val="single" w:color="auto" w:sz="4" w:space="0"/>
              <w:right w:val="single" w:color="auto" w:sz="4" w:space="0"/>
            </w:tcBorders>
            <w:vAlign w:val="center"/>
          </w:tcPr>
          <w:p w14:paraId="1A571B78">
            <w:pPr>
              <w:pStyle w:val="44"/>
              <w:rPr>
                <w:rFonts w:ascii="Times New Roman" w:hAnsi="Times New Roman" w:eastAsia="宋体"/>
                <w:sz w:val="21"/>
                <w:szCs w:val="21"/>
              </w:rPr>
            </w:pPr>
            <w:r>
              <w:rPr>
                <w:rFonts w:ascii="Times New Roman" w:hAnsi="Times New Roman" w:eastAsia="宋体"/>
                <w:sz w:val="21"/>
                <w:szCs w:val="21"/>
              </w:rPr>
              <w:t>安农商银办〔2020〕25 号</w:t>
            </w:r>
          </w:p>
        </w:tc>
        <w:tc>
          <w:tcPr>
            <w:tcW w:w="725" w:type="dxa"/>
            <w:tcBorders>
              <w:top w:val="single" w:color="auto" w:sz="4" w:space="0"/>
              <w:left w:val="single" w:color="auto" w:sz="4" w:space="0"/>
              <w:bottom w:val="single" w:color="auto" w:sz="4" w:space="0"/>
              <w:right w:val="single" w:color="auto" w:sz="4" w:space="0"/>
            </w:tcBorders>
            <w:vAlign w:val="center"/>
          </w:tcPr>
          <w:p w14:paraId="1AC5905B">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283FAAA8">
            <w:pPr>
              <w:pStyle w:val="44"/>
              <w:ind w:firstLine="422"/>
              <w:jc w:val="both"/>
              <w:rPr>
                <w:rFonts w:ascii="Times New Roman" w:hAnsi="Times New Roman" w:eastAsia="宋体"/>
                <w:sz w:val="21"/>
                <w:szCs w:val="21"/>
              </w:rPr>
            </w:pPr>
            <w:r>
              <w:rPr>
                <w:rFonts w:ascii="Times New Roman" w:hAnsi="Times New Roman" w:eastAsia="宋体"/>
                <w:sz w:val="21"/>
                <w:szCs w:val="21"/>
              </w:rPr>
              <w:t>从“节约用电”、“节约用水”、“节约用纸”、“节能降耗”、“绿色出行”、“垃圾分类”等方面开展绿色办公，引导员工树立绿色低碳办公意识。</w:t>
            </w:r>
          </w:p>
        </w:tc>
        <w:tc>
          <w:tcPr>
            <w:tcW w:w="602" w:type="dxa"/>
            <w:tcBorders>
              <w:top w:val="single" w:color="auto" w:sz="4" w:space="0"/>
              <w:left w:val="single" w:color="auto" w:sz="4" w:space="0"/>
              <w:bottom w:val="single" w:color="auto" w:sz="4" w:space="0"/>
              <w:right w:val="single" w:color="auto" w:sz="4" w:space="0"/>
            </w:tcBorders>
            <w:vAlign w:val="center"/>
          </w:tcPr>
          <w:p w14:paraId="2D82C054">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673C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DD6BF6E">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9</w:t>
            </w:r>
          </w:p>
        </w:tc>
        <w:tc>
          <w:tcPr>
            <w:tcW w:w="1732" w:type="dxa"/>
            <w:tcBorders>
              <w:top w:val="single" w:color="auto" w:sz="4" w:space="0"/>
              <w:left w:val="single" w:color="auto" w:sz="4" w:space="0"/>
              <w:bottom w:val="single" w:color="auto" w:sz="4" w:space="0"/>
              <w:right w:val="single" w:color="auto" w:sz="4" w:space="0"/>
            </w:tcBorders>
            <w:vAlign w:val="center"/>
          </w:tcPr>
          <w:p w14:paraId="727AA8D6">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《浙江安吉农村商业银行股份有限公司垃圾分类工作实施方案》</w:t>
            </w:r>
          </w:p>
        </w:tc>
        <w:tc>
          <w:tcPr>
            <w:tcW w:w="1164" w:type="dxa"/>
            <w:tcBorders>
              <w:top w:val="single" w:color="auto" w:sz="4" w:space="0"/>
              <w:left w:val="single" w:color="auto" w:sz="4" w:space="0"/>
              <w:bottom w:val="single" w:color="auto" w:sz="4" w:space="0"/>
              <w:right w:val="single" w:color="auto" w:sz="4" w:space="0"/>
            </w:tcBorders>
            <w:vAlign w:val="center"/>
          </w:tcPr>
          <w:p w14:paraId="66AC1DB0">
            <w:pPr>
              <w:pStyle w:val="44"/>
              <w:rPr>
                <w:rFonts w:ascii="Times New Roman" w:hAnsi="Times New Roman" w:eastAsia="宋体"/>
                <w:sz w:val="21"/>
                <w:szCs w:val="21"/>
              </w:rPr>
            </w:pPr>
            <w:r>
              <w:rPr>
                <w:rFonts w:ascii="Times New Roman" w:hAnsi="Times New Roman" w:eastAsia="宋体"/>
                <w:sz w:val="21"/>
                <w:szCs w:val="21"/>
              </w:rPr>
              <w:t>安农商银办〔2020〕50 号</w:t>
            </w:r>
          </w:p>
        </w:tc>
        <w:tc>
          <w:tcPr>
            <w:tcW w:w="725" w:type="dxa"/>
            <w:tcBorders>
              <w:top w:val="single" w:color="auto" w:sz="4" w:space="0"/>
              <w:left w:val="single" w:color="auto" w:sz="4" w:space="0"/>
              <w:bottom w:val="single" w:color="auto" w:sz="4" w:space="0"/>
              <w:right w:val="single" w:color="auto" w:sz="4" w:space="0"/>
            </w:tcBorders>
            <w:vAlign w:val="center"/>
          </w:tcPr>
          <w:p w14:paraId="73FBE431">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216E244A">
            <w:pPr>
              <w:pStyle w:val="44"/>
              <w:ind w:firstLine="422"/>
              <w:jc w:val="both"/>
              <w:rPr>
                <w:rFonts w:ascii="Times New Roman" w:hAnsi="Times New Roman" w:eastAsia="宋体"/>
                <w:sz w:val="21"/>
                <w:szCs w:val="21"/>
              </w:rPr>
            </w:pPr>
            <w:r>
              <w:rPr>
                <w:rFonts w:ascii="Times New Roman" w:hAnsi="Times New Roman" w:eastAsia="宋体"/>
                <w:sz w:val="21"/>
                <w:szCs w:val="21"/>
              </w:rPr>
              <w:t>从“垃圾分类管理职责”、“垃圾分类设施配置”、“垃圾分类投放要求”等方面开展垃圾分类工作，实现本行生活垃圾减量化。</w:t>
            </w:r>
          </w:p>
        </w:tc>
        <w:tc>
          <w:tcPr>
            <w:tcW w:w="602" w:type="dxa"/>
            <w:tcBorders>
              <w:top w:val="single" w:color="auto" w:sz="4" w:space="0"/>
              <w:left w:val="single" w:color="auto" w:sz="4" w:space="0"/>
              <w:bottom w:val="single" w:color="auto" w:sz="4" w:space="0"/>
              <w:right w:val="single" w:color="auto" w:sz="4" w:space="0"/>
            </w:tcBorders>
            <w:vAlign w:val="center"/>
          </w:tcPr>
          <w:p w14:paraId="1972E15C">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1B6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CD39ABD">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10</w:t>
            </w:r>
          </w:p>
        </w:tc>
        <w:tc>
          <w:tcPr>
            <w:tcW w:w="1732" w:type="dxa"/>
            <w:tcBorders>
              <w:top w:val="single" w:color="auto" w:sz="4" w:space="0"/>
              <w:left w:val="single" w:color="auto" w:sz="4" w:space="0"/>
              <w:bottom w:val="single" w:color="auto" w:sz="4" w:space="0"/>
              <w:right w:val="single" w:color="auto" w:sz="4" w:space="0"/>
            </w:tcBorders>
            <w:vAlign w:val="center"/>
          </w:tcPr>
          <w:p w14:paraId="2CE3FB82">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《浙江安吉农村商业银行股份有限公司制止餐饮浪费行为培养节约习惯实施方案》</w:t>
            </w:r>
          </w:p>
        </w:tc>
        <w:tc>
          <w:tcPr>
            <w:tcW w:w="1164" w:type="dxa"/>
            <w:tcBorders>
              <w:top w:val="single" w:color="auto" w:sz="4" w:space="0"/>
              <w:left w:val="single" w:color="auto" w:sz="4" w:space="0"/>
              <w:bottom w:val="single" w:color="auto" w:sz="4" w:space="0"/>
              <w:right w:val="single" w:color="auto" w:sz="4" w:space="0"/>
            </w:tcBorders>
            <w:vAlign w:val="center"/>
          </w:tcPr>
          <w:p w14:paraId="41348291">
            <w:pPr>
              <w:pStyle w:val="44"/>
              <w:rPr>
                <w:rFonts w:ascii="Times New Roman" w:hAnsi="Times New Roman" w:eastAsia="宋体"/>
                <w:sz w:val="21"/>
                <w:szCs w:val="21"/>
              </w:rPr>
            </w:pPr>
            <w:r>
              <w:rPr>
                <w:rFonts w:ascii="Times New Roman" w:hAnsi="Times New Roman" w:eastAsia="宋体"/>
                <w:sz w:val="21"/>
                <w:szCs w:val="21"/>
              </w:rPr>
              <w:t>安农商银办〔2020〕67 号</w:t>
            </w:r>
          </w:p>
        </w:tc>
        <w:tc>
          <w:tcPr>
            <w:tcW w:w="725" w:type="dxa"/>
            <w:tcBorders>
              <w:top w:val="single" w:color="auto" w:sz="4" w:space="0"/>
              <w:left w:val="single" w:color="auto" w:sz="4" w:space="0"/>
              <w:bottom w:val="single" w:color="auto" w:sz="4" w:space="0"/>
              <w:right w:val="single" w:color="auto" w:sz="4" w:space="0"/>
            </w:tcBorders>
            <w:vAlign w:val="center"/>
          </w:tcPr>
          <w:p w14:paraId="1681D470">
            <w:pPr>
              <w:pStyle w:val="44"/>
              <w:rPr>
                <w:rFonts w:ascii="Times New Roman" w:hAnsi="Times New Roman" w:eastAsia="宋体"/>
                <w:sz w:val="21"/>
                <w:szCs w:val="21"/>
              </w:rPr>
            </w:pPr>
            <w:r>
              <w:rPr>
                <w:rFonts w:ascii="Times New Roman" w:hAnsi="Times New Roman" w:eastAsia="宋体"/>
                <w:sz w:val="21"/>
                <w:szCs w:val="21"/>
              </w:rPr>
              <w:t>操作要求</w:t>
            </w:r>
          </w:p>
        </w:tc>
        <w:tc>
          <w:tcPr>
            <w:tcW w:w="3861" w:type="dxa"/>
            <w:tcBorders>
              <w:top w:val="single" w:color="auto" w:sz="4" w:space="0"/>
              <w:left w:val="single" w:color="auto" w:sz="4" w:space="0"/>
              <w:bottom w:val="single" w:color="auto" w:sz="4" w:space="0"/>
              <w:right w:val="single" w:color="auto" w:sz="4" w:space="0"/>
            </w:tcBorders>
            <w:vAlign w:val="center"/>
          </w:tcPr>
          <w:p w14:paraId="0DBF8569">
            <w:pPr>
              <w:pStyle w:val="44"/>
              <w:ind w:firstLine="422"/>
              <w:jc w:val="both"/>
              <w:rPr>
                <w:rFonts w:ascii="Times New Roman" w:hAnsi="Times New Roman" w:eastAsia="宋体"/>
                <w:sz w:val="21"/>
                <w:szCs w:val="21"/>
              </w:rPr>
            </w:pPr>
            <w:r>
              <w:rPr>
                <w:rFonts w:ascii="Times New Roman" w:hAnsi="Times New Roman" w:eastAsia="宋体"/>
                <w:sz w:val="21"/>
                <w:szCs w:val="21"/>
              </w:rPr>
              <w:t>从“理念培育”、“开展主题教育”、“加强食堂管理”等方面加强员工珍惜粮食、杜绝浪费的意识，培养勤俭节约的习惯。</w:t>
            </w:r>
          </w:p>
        </w:tc>
        <w:tc>
          <w:tcPr>
            <w:tcW w:w="602" w:type="dxa"/>
            <w:tcBorders>
              <w:top w:val="single" w:color="auto" w:sz="4" w:space="0"/>
              <w:left w:val="single" w:color="auto" w:sz="4" w:space="0"/>
              <w:bottom w:val="single" w:color="auto" w:sz="4" w:space="0"/>
              <w:right w:val="single" w:color="auto" w:sz="4" w:space="0"/>
            </w:tcBorders>
            <w:vAlign w:val="center"/>
          </w:tcPr>
          <w:p w14:paraId="076DD3E1">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6220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8877A9D">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11</w:t>
            </w:r>
          </w:p>
        </w:tc>
        <w:tc>
          <w:tcPr>
            <w:tcW w:w="1732" w:type="dxa"/>
            <w:tcBorders>
              <w:top w:val="single" w:color="auto" w:sz="4" w:space="0"/>
              <w:left w:val="single" w:color="auto" w:sz="4" w:space="0"/>
              <w:bottom w:val="single" w:color="auto" w:sz="4" w:space="0"/>
              <w:right w:val="single" w:color="auto" w:sz="4" w:space="0"/>
            </w:tcBorders>
            <w:vAlign w:val="center"/>
          </w:tcPr>
          <w:p w14:paraId="4077BAD1">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《浙江安吉农村商业银行股份有限公司农村住房绿色建筑贷款管理办法（试行）》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4C46BF56">
            <w:pPr>
              <w:pStyle w:val="44"/>
              <w:rPr>
                <w:rFonts w:ascii="Times New Roman" w:hAnsi="Times New Roman" w:eastAsia="宋体"/>
                <w:sz w:val="21"/>
                <w:szCs w:val="21"/>
              </w:rPr>
            </w:pPr>
            <w:r>
              <w:rPr>
                <w:rFonts w:ascii="Times New Roman" w:hAnsi="Times New Roman" w:eastAsia="宋体"/>
                <w:sz w:val="21"/>
                <w:szCs w:val="21"/>
              </w:rPr>
              <w:t>安农商银〔2020〕164 号</w:t>
            </w:r>
          </w:p>
        </w:tc>
        <w:tc>
          <w:tcPr>
            <w:tcW w:w="725" w:type="dxa"/>
            <w:tcBorders>
              <w:top w:val="single" w:color="auto" w:sz="4" w:space="0"/>
              <w:left w:val="single" w:color="auto" w:sz="4" w:space="0"/>
              <w:bottom w:val="single" w:color="auto" w:sz="4" w:space="0"/>
              <w:right w:val="single" w:color="auto" w:sz="4" w:space="0"/>
            </w:tcBorders>
            <w:vAlign w:val="center"/>
          </w:tcPr>
          <w:p w14:paraId="51273729">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687BEF77">
            <w:pPr>
              <w:pStyle w:val="44"/>
              <w:ind w:firstLine="422"/>
              <w:jc w:val="both"/>
              <w:rPr>
                <w:rFonts w:ascii="Times New Roman" w:hAnsi="Times New Roman" w:eastAsia="宋体"/>
                <w:sz w:val="21"/>
                <w:szCs w:val="21"/>
              </w:rPr>
            </w:pPr>
            <w:r>
              <w:rPr>
                <w:rFonts w:ascii="Times New Roman" w:hAnsi="Times New Roman" w:eastAsia="宋体"/>
                <w:sz w:val="21"/>
                <w:szCs w:val="21"/>
              </w:rPr>
              <w:t>结合国家《绿色建筑评价标准》，明确规定“农村住房绿色建筑”的认定标准，从环境风险因素出发，分档次清晰界定了一、二、三星级绿色农房建筑，根据不同星级标准实行差异化利率定价。</w:t>
            </w:r>
          </w:p>
        </w:tc>
        <w:tc>
          <w:tcPr>
            <w:tcW w:w="602" w:type="dxa"/>
            <w:tcBorders>
              <w:top w:val="single" w:color="auto" w:sz="4" w:space="0"/>
              <w:left w:val="single" w:color="auto" w:sz="4" w:space="0"/>
              <w:bottom w:val="single" w:color="auto" w:sz="4" w:space="0"/>
              <w:right w:val="single" w:color="auto" w:sz="4" w:space="0"/>
            </w:tcBorders>
            <w:vAlign w:val="center"/>
          </w:tcPr>
          <w:p w14:paraId="759EA4AF">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5AE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DD1107F">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12</w:t>
            </w:r>
          </w:p>
        </w:tc>
        <w:tc>
          <w:tcPr>
            <w:tcW w:w="1732" w:type="dxa"/>
            <w:tcBorders>
              <w:top w:val="single" w:color="auto" w:sz="4" w:space="0"/>
              <w:left w:val="single" w:color="auto" w:sz="4" w:space="0"/>
              <w:bottom w:val="single" w:color="auto" w:sz="4" w:space="0"/>
              <w:right w:val="single" w:color="auto" w:sz="4" w:space="0"/>
            </w:tcBorders>
            <w:vAlign w:val="center"/>
          </w:tcPr>
          <w:p w14:paraId="787293A0">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《浙江安吉农村商业银行股份有限公司“绿色家装贷”贷款管理办法(试行)》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5E9669DE">
            <w:pPr>
              <w:pStyle w:val="44"/>
              <w:rPr>
                <w:rFonts w:ascii="Times New Roman" w:hAnsi="Times New Roman" w:eastAsia="宋体"/>
                <w:sz w:val="21"/>
                <w:szCs w:val="21"/>
              </w:rPr>
            </w:pPr>
            <w:r>
              <w:rPr>
                <w:rFonts w:ascii="Times New Roman" w:hAnsi="Times New Roman" w:eastAsia="宋体"/>
                <w:sz w:val="21"/>
                <w:szCs w:val="21"/>
              </w:rPr>
              <w:t>安农商银〔2020〕294 号</w:t>
            </w:r>
          </w:p>
        </w:tc>
        <w:tc>
          <w:tcPr>
            <w:tcW w:w="725" w:type="dxa"/>
            <w:tcBorders>
              <w:top w:val="single" w:color="auto" w:sz="4" w:space="0"/>
              <w:left w:val="single" w:color="auto" w:sz="4" w:space="0"/>
              <w:bottom w:val="single" w:color="auto" w:sz="4" w:space="0"/>
              <w:right w:val="single" w:color="auto" w:sz="4" w:space="0"/>
            </w:tcBorders>
            <w:vAlign w:val="center"/>
          </w:tcPr>
          <w:p w14:paraId="4B685685">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7CCC033B">
            <w:pPr>
              <w:pStyle w:val="44"/>
              <w:ind w:firstLine="422"/>
              <w:jc w:val="both"/>
              <w:rPr>
                <w:rFonts w:ascii="Times New Roman" w:hAnsi="Times New Roman" w:eastAsia="宋体"/>
                <w:sz w:val="21"/>
                <w:szCs w:val="21"/>
              </w:rPr>
            </w:pPr>
            <w:r>
              <w:rPr>
                <w:rFonts w:ascii="Times New Roman" w:hAnsi="Times New Roman" w:eastAsia="宋体"/>
                <w:sz w:val="21"/>
                <w:szCs w:val="21"/>
              </w:rPr>
              <w:t>以降低装修能源消耗量为导向，制定“绿色家装贷”具体操作细则。</w:t>
            </w:r>
          </w:p>
        </w:tc>
        <w:tc>
          <w:tcPr>
            <w:tcW w:w="602" w:type="dxa"/>
            <w:tcBorders>
              <w:top w:val="single" w:color="auto" w:sz="4" w:space="0"/>
              <w:left w:val="single" w:color="auto" w:sz="4" w:space="0"/>
              <w:bottom w:val="single" w:color="auto" w:sz="4" w:space="0"/>
              <w:right w:val="single" w:color="auto" w:sz="4" w:space="0"/>
            </w:tcBorders>
            <w:vAlign w:val="center"/>
          </w:tcPr>
          <w:p w14:paraId="39A4E33F">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5FB6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D534259">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13</w:t>
            </w:r>
          </w:p>
        </w:tc>
        <w:tc>
          <w:tcPr>
            <w:tcW w:w="1732" w:type="dxa"/>
            <w:tcBorders>
              <w:top w:val="single" w:color="auto" w:sz="4" w:space="0"/>
              <w:left w:val="single" w:color="auto" w:sz="4" w:space="0"/>
              <w:bottom w:val="single" w:color="auto" w:sz="4" w:space="0"/>
              <w:right w:val="single" w:color="auto" w:sz="4" w:space="0"/>
            </w:tcBorders>
            <w:vAlign w:val="center"/>
          </w:tcPr>
          <w:p w14:paraId="1E2507DB">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《安吉农商银行绿色金融支持绿色制造业发展指导意见》</w:t>
            </w:r>
          </w:p>
        </w:tc>
        <w:tc>
          <w:tcPr>
            <w:tcW w:w="1164" w:type="dxa"/>
            <w:tcBorders>
              <w:top w:val="single" w:color="auto" w:sz="4" w:space="0"/>
              <w:left w:val="single" w:color="auto" w:sz="4" w:space="0"/>
              <w:bottom w:val="single" w:color="auto" w:sz="4" w:space="0"/>
              <w:right w:val="single" w:color="auto" w:sz="4" w:space="0"/>
            </w:tcBorders>
            <w:vAlign w:val="center"/>
          </w:tcPr>
          <w:p w14:paraId="0DAB26E4">
            <w:pPr>
              <w:pStyle w:val="44"/>
              <w:rPr>
                <w:rFonts w:ascii="Times New Roman" w:hAnsi="Times New Roman" w:eastAsia="宋体"/>
                <w:sz w:val="21"/>
                <w:szCs w:val="21"/>
              </w:rPr>
            </w:pPr>
            <w:r>
              <w:rPr>
                <w:rFonts w:ascii="Times New Roman" w:hAnsi="Times New Roman" w:eastAsia="宋体"/>
                <w:sz w:val="21"/>
                <w:szCs w:val="21"/>
              </w:rPr>
              <w:t>安农商银〔2020〕414 号</w:t>
            </w:r>
          </w:p>
        </w:tc>
        <w:tc>
          <w:tcPr>
            <w:tcW w:w="725" w:type="dxa"/>
            <w:tcBorders>
              <w:top w:val="single" w:color="auto" w:sz="4" w:space="0"/>
              <w:left w:val="single" w:color="auto" w:sz="4" w:space="0"/>
              <w:bottom w:val="single" w:color="auto" w:sz="4" w:space="0"/>
              <w:right w:val="single" w:color="auto" w:sz="4" w:space="0"/>
            </w:tcBorders>
            <w:vAlign w:val="center"/>
          </w:tcPr>
          <w:p w14:paraId="79FFB37E">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6195F197">
            <w:pPr>
              <w:pStyle w:val="44"/>
              <w:ind w:firstLine="422"/>
              <w:jc w:val="both"/>
              <w:rPr>
                <w:rFonts w:ascii="Times New Roman" w:hAnsi="Times New Roman" w:eastAsia="宋体"/>
                <w:sz w:val="21"/>
                <w:szCs w:val="21"/>
              </w:rPr>
            </w:pPr>
            <w:r>
              <w:rPr>
                <w:rFonts w:ascii="Times New Roman" w:hAnsi="Times New Roman" w:eastAsia="宋体"/>
                <w:sz w:val="21"/>
                <w:szCs w:val="21"/>
              </w:rPr>
              <w:t>从“单列信贷规模”、“创新融资产品”、“落实差异化信贷政策”、“实施绿色企业网格化管理”、“畅通绿色企业转贷机制”、“探索绿色信贷风险共担机制”等方面，支持县域绿色制造业绿色发展。</w:t>
            </w:r>
          </w:p>
        </w:tc>
        <w:tc>
          <w:tcPr>
            <w:tcW w:w="602" w:type="dxa"/>
            <w:tcBorders>
              <w:top w:val="single" w:color="auto" w:sz="4" w:space="0"/>
              <w:left w:val="single" w:color="auto" w:sz="4" w:space="0"/>
              <w:bottom w:val="single" w:color="auto" w:sz="4" w:space="0"/>
              <w:right w:val="single" w:color="auto" w:sz="4" w:space="0"/>
            </w:tcBorders>
            <w:vAlign w:val="center"/>
          </w:tcPr>
          <w:p w14:paraId="506221C5">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B5A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200F394">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14</w:t>
            </w:r>
          </w:p>
        </w:tc>
        <w:tc>
          <w:tcPr>
            <w:tcW w:w="1732" w:type="dxa"/>
            <w:tcBorders>
              <w:top w:val="single" w:color="auto" w:sz="4" w:space="0"/>
              <w:left w:val="single" w:color="auto" w:sz="4" w:space="0"/>
              <w:bottom w:val="single" w:color="auto" w:sz="4" w:space="0"/>
              <w:right w:val="single" w:color="auto" w:sz="4" w:space="0"/>
            </w:tcBorders>
            <w:vAlign w:val="center"/>
          </w:tcPr>
          <w:p w14:paraId="298D78A4">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《安吉农商银行“碳中和银行”试点项目建设方案》</w:t>
            </w:r>
          </w:p>
        </w:tc>
        <w:tc>
          <w:tcPr>
            <w:tcW w:w="1164" w:type="dxa"/>
            <w:tcBorders>
              <w:top w:val="single" w:color="auto" w:sz="4" w:space="0"/>
              <w:left w:val="single" w:color="auto" w:sz="4" w:space="0"/>
              <w:bottom w:val="single" w:color="auto" w:sz="4" w:space="0"/>
              <w:right w:val="single" w:color="auto" w:sz="4" w:space="0"/>
            </w:tcBorders>
            <w:vAlign w:val="center"/>
          </w:tcPr>
          <w:p w14:paraId="3359F96E">
            <w:pPr>
              <w:pStyle w:val="44"/>
              <w:rPr>
                <w:rFonts w:ascii="Times New Roman" w:hAnsi="Times New Roman" w:eastAsia="宋体"/>
                <w:sz w:val="21"/>
                <w:szCs w:val="21"/>
              </w:rPr>
            </w:pPr>
            <w:r>
              <w:rPr>
                <w:rFonts w:ascii="Times New Roman" w:hAnsi="Times New Roman" w:eastAsia="宋体"/>
                <w:sz w:val="21"/>
                <w:szCs w:val="21"/>
              </w:rPr>
              <w:t>安农商银办〔2021〕11 号</w:t>
            </w:r>
          </w:p>
        </w:tc>
        <w:tc>
          <w:tcPr>
            <w:tcW w:w="725" w:type="dxa"/>
            <w:tcBorders>
              <w:top w:val="single" w:color="auto" w:sz="4" w:space="0"/>
              <w:left w:val="single" w:color="auto" w:sz="4" w:space="0"/>
              <w:bottom w:val="single" w:color="auto" w:sz="4" w:space="0"/>
              <w:right w:val="single" w:color="auto" w:sz="4" w:space="0"/>
            </w:tcBorders>
            <w:vAlign w:val="center"/>
          </w:tcPr>
          <w:p w14:paraId="1DC2C03D">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53559E61">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采用先试点再推广的创建思路，在辖内天荒坪支行(现更名为余村绿色支行)试点探索“碳中和银行”示范点建设，通过内外联动的方式合力打造全国首个“碳中和银行”样板。</w:t>
            </w:r>
          </w:p>
        </w:tc>
        <w:tc>
          <w:tcPr>
            <w:tcW w:w="602" w:type="dxa"/>
            <w:tcBorders>
              <w:top w:val="single" w:color="auto" w:sz="4" w:space="0"/>
              <w:left w:val="single" w:color="auto" w:sz="4" w:space="0"/>
              <w:bottom w:val="single" w:color="auto" w:sz="4" w:space="0"/>
              <w:right w:val="single" w:color="auto" w:sz="4" w:space="0"/>
            </w:tcBorders>
            <w:vAlign w:val="center"/>
          </w:tcPr>
          <w:p w14:paraId="16A9CE40">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5579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D7DBC09">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15</w:t>
            </w:r>
          </w:p>
        </w:tc>
        <w:tc>
          <w:tcPr>
            <w:tcW w:w="1732" w:type="dxa"/>
            <w:tcBorders>
              <w:top w:val="single" w:color="auto" w:sz="4" w:space="0"/>
              <w:left w:val="single" w:color="auto" w:sz="4" w:space="0"/>
              <w:bottom w:val="single" w:color="auto" w:sz="4" w:space="0"/>
              <w:right w:val="single" w:color="auto" w:sz="4" w:space="0"/>
            </w:tcBorders>
            <w:vAlign w:val="center"/>
          </w:tcPr>
          <w:p w14:paraId="7BA366FA">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《浙江安吉农村商业银行股份有限公司2021 年度绿色金融业务专项考核办法》</w:t>
            </w:r>
          </w:p>
        </w:tc>
        <w:tc>
          <w:tcPr>
            <w:tcW w:w="1164" w:type="dxa"/>
            <w:tcBorders>
              <w:top w:val="single" w:color="auto" w:sz="4" w:space="0"/>
              <w:left w:val="single" w:color="auto" w:sz="4" w:space="0"/>
              <w:bottom w:val="single" w:color="auto" w:sz="4" w:space="0"/>
              <w:right w:val="single" w:color="auto" w:sz="4" w:space="0"/>
            </w:tcBorders>
            <w:vAlign w:val="center"/>
          </w:tcPr>
          <w:p w14:paraId="46B2907D">
            <w:pPr>
              <w:pStyle w:val="44"/>
              <w:rPr>
                <w:rFonts w:ascii="Times New Roman" w:hAnsi="Times New Roman" w:eastAsia="宋体"/>
                <w:sz w:val="21"/>
                <w:szCs w:val="21"/>
                <w:lang w:eastAsia="zh-TW"/>
              </w:rPr>
            </w:pPr>
            <w:r>
              <w:rPr>
                <w:rFonts w:ascii="Times New Roman" w:hAnsi="Times New Roman" w:eastAsia="宋体"/>
                <w:sz w:val="21"/>
                <w:szCs w:val="21"/>
              </w:rPr>
              <w:t>安农商银办〔2021〕30号</w:t>
            </w:r>
          </w:p>
        </w:tc>
        <w:tc>
          <w:tcPr>
            <w:tcW w:w="725" w:type="dxa"/>
            <w:tcBorders>
              <w:top w:val="single" w:color="auto" w:sz="4" w:space="0"/>
              <w:left w:val="single" w:color="auto" w:sz="4" w:space="0"/>
              <w:bottom w:val="single" w:color="auto" w:sz="4" w:space="0"/>
              <w:right w:val="single" w:color="auto" w:sz="4" w:space="0"/>
            </w:tcBorders>
            <w:vAlign w:val="center"/>
          </w:tcPr>
          <w:p w14:paraId="4B5DD510">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69C3B5DB">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从“绿色信贷增量、扩户”、“绿色金融综合服务平台推进”、“绿色金融特色产品推进”、“机构绿色低碳运营” 等方面入手，制定考核办法，推进绿色金融高质量发展。</w:t>
            </w:r>
          </w:p>
        </w:tc>
        <w:tc>
          <w:tcPr>
            <w:tcW w:w="602" w:type="dxa"/>
            <w:tcBorders>
              <w:top w:val="single" w:color="auto" w:sz="4" w:space="0"/>
              <w:left w:val="single" w:color="auto" w:sz="4" w:space="0"/>
              <w:bottom w:val="single" w:color="auto" w:sz="4" w:space="0"/>
              <w:right w:val="single" w:color="auto" w:sz="4" w:space="0"/>
            </w:tcBorders>
            <w:vAlign w:val="center"/>
          </w:tcPr>
          <w:p w14:paraId="142473BE">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94F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F83803F">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16</w:t>
            </w:r>
          </w:p>
        </w:tc>
        <w:tc>
          <w:tcPr>
            <w:tcW w:w="1732" w:type="dxa"/>
            <w:tcBorders>
              <w:top w:val="single" w:color="auto" w:sz="4" w:space="0"/>
              <w:left w:val="single" w:color="auto" w:sz="4" w:space="0"/>
              <w:bottom w:val="single" w:color="auto" w:sz="4" w:space="0"/>
              <w:right w:val="single" w:color="auto" w:sz="4" w:space="0"/>
            </w:tcBorders>
            <w:vAlign w:val="center"/>
          </w:tcPr>
          <w:p w14:paraId="12DBBD77">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《浙江安吉农村商业银行股份有限公司“碳中和银行”绿色办公考核办法》</w:t>
            </w:r>
          </w:p>
        </w:tc>
        <w:tc>
          <w:tcPr>
            <w:tcW w:w="1164" w:type="dxa"/>
            <w:tcBorders>
              <w:top w:val="single" w:color="auto" w:sz="4" w:space="0"/>
              <w:left w:val="single" w:color="auto" w:sz="4" w:space="0"/>
              <w:bottom w:val="single" w:color="auto" w:sz="4" w:space="0"/>
              <w:right w:val="single" w:color="auto" w:sz="4" w:space="0"/>
            </w:tcBorders>
            <w:vAlign w:val="center"/>
          </w:tcPr>
          <w:p w14:paraId="13004A23">
            <w:pPr>
              <w:pStyle w:val="44"/>
              <w:rPr>
                <w:rFonts w:ascii="Times New Roman" w:hAnsi="Times New Roman" w:eastAsia="宋体"/>
                <w:sz w:val="21"/>
                <w:szCs w:val="21"/>
              </w:rPr>
            </w:pPr>
            <w:r>
              <w:rPr>
                <w:rFonts w:ascii="Times New Roman" w:hAnsi="Times New Roman" w:eastAsia="宋体"/>
                <w:sz w:val="21"/>
                <w:szCs w:val="21"/>
              </w:rPr>
              <w:t>安农商银〔2021〕</w:t>
            </w:r>
          </w:p>
          <w:p w14:paraId="0D28D445">
            <w:pPr>
              <w:pStyle w:val="44"/>
              <w:rPr>
                <w:rFonts w:ascii="Times New Roman" w:hAnsi="Times New Roman" w:eastAsia="宋体"/>
                <w:sz w:val="21"/>
                <w:szCs w:val="21"/>
              </w:rPr>
            </w:pPr>
            <w:r>
              <w:rPr>
                <w:rFonts w:ascii="Times New Roman" w:hAnsi="Times New Roman" w:eastAsia="宋体"/>
                <w:sz w:val="21"/>
                <w:szCs w:val="21"/>
              </w:rPr>
              <w:t>39号</w:t>
            </w:r>
          </w:p>
        </w:tc>
        <w:tc>
          <w:tcPr>
            <w:tcW w:w="725" w:type="dxa"/>
            <w:tcBorders>
              <w:top w:val="single" w:color="auto" w:sz="4" w:space="0"/>
              <w:left w:val="single" w:color="auto" w:sz="4" w:space="0"/>
              <w:bottom w:val="single" w:color="auto" w:sz="4" w:space="0"/>
              <w:right w:val="single" w:color="auto" w:sz="4" w:space="0"/>
            </w:tcBorders>
            <w:vAlign w:val="center"/>
          </w:tcPr>
          <w:p w14:paraId="72640D57">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0360BE3E">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从用电、用水、用纸、办公耗材四个维度对支行按月考核。</w:t>
            </w:r>
          </w:p>
        </w:tc>
        <w:tc>
          <w:tcPr>
            <w:tcW w:w="602" w:type="dxa"/>
            <w:tcBorders>
              <w:top w:val="single" w:color="auto" w:sz="4" w:space="0"/>
              <w:left w:val="single" w:color="auto" w:sz="4" w:space="0"/>
              <w:bottom w:val="single" w:color="auto" w:sz="4" w:space="0"/>
              <w:right w:val="single" w:color="auto" w:sz="4" w:space="0"/>
            </w:tcBorders>
            <w:vAlign w:val="center"/>
          </w:tcPr>
          <w:p w14:paraId="316EF8E9">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1D3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73D790E">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17</w:t>
            </w:r>
          </w:p>
        </w:tc>
        <w:tc>
          <w:tcPr>
            <w:tcW w:w="1732" w:type="dxa"/>
            <w:tcBorders>
              <w:top w:val="single" w:color="auto" w:sz="4" w:space="0"/>
              <w:left w:val="single" w:color="auto" w:sz="4" w:space="0"/>
              <w:bottom w:val="single" w:color="auto" w:sz="4" w:space="0"/>
              <w:right w:val="single" w:color="auto" w:sz="4" w:space="0"/>
            </w:tcBorders>
            <w:vAlign w:val="center"/>
          </w:tcPr>
          <w:p w14:paraId="6C59F197">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《浙江安吉农村商业银行股份有限公司“碳中和”助力贷贷款管理办法（试行）》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51961016">
            <w:pPr>
              <w:pStyle w:val="44"/>
              <w:rPr>
                <w:rFonts w:ascii="Times New Roman" w:hAnsi="Times New Roman" w:eastAsia="宋体"/>
                <w:sz w:val="21"/>
                <w:szCs w:val="21"/>
                <w:lang w:eastAsia="zh-TW"/>
              </w:rPr>
            </w:pPr>
            <w:r>
              <w:rPr>
                <w:rFonts w:ascii="Times New Roman" w:hAnsi="Times New Roman" w:eastAsia="宋体"/>
                <w:sz w:val="21"/>
                <w:szCs w:val="21"/>
              </w:rPr>
              <w:t>安农商银办〔2021〕143 号</w:t>
            </w:r>
          </w:p>
        </w:tc>
        <w:tc>
          <w:tcPr>
            <w:tcW w:w="725" w:type="dxa"/>
            <w:tcBorders>
              <w:top w:val="single" w:color="auto" w:sz="4" w:space="0"/>
              <w:left w:val="single" w:color="auto" w:sz="4" w:space="0"/>
              <w:bottom w:val="single" w:color="auto" w:sz="4" w:space="0"/>
              <w:right w:val="single" w:color="auto" w:sz="4" w:space="0"/>
            </w:tcBorders>
            <w:vAlign w:val="center"/>
          </w:tcPr>
          <w:p w14:paraId="04F3FAEE">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1EEE3542">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 xml:space="preserve">为支持县域中小微企业减排项目、清洁生产、低碳改造等,创新推出“碳中和”助力贷产品，并制定具体操作细则。 </w:t>
            </w:r>
          </w:p>
        </w:tc>
        <w:tc>
          <w:tcPr>
            <w:tcW w:w="602" w:type="dxa"/>
            <w:tcBorders>
              <w:top w:val="single" w:color="auto" w:sz="4" w:space="0"/>
              <w:left w:val="single" w:color="auto" w:sz="4" w:space="0"/>
              <w:bottom w:val="single" w:color="auto" w:sz="4" w:space="0"/>
              <w:right w:val="single" w:color="auto" w:sz="4" w:space="0"/>
            </w:tcBorders>
            <w:vAlign w:val="center"/>
          </w:tcPr>
          <w:p w14:paraId="337DF2AE">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050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341E9AF">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18</w:t>
            </w:r>
          </w:p>
        </w:tc>
        <w:tc>
          <w:tcPr>
            <w:tcW w:w="1732" w:type="dxa"/>
            <w:tcBorders>
              <w:top w:val="single" w:color="auto" w:sz="4" w:space="0"/>
              <w:left w:val="single" w:color="auto" w:sz="4" w:space="0"/>
              <w:bottom w:val="single" w:color="auto" w:sz="4" w:space="0"/>
              <w:right w:val="single" w:color="auto" w:sz="4" w:space="0"/>
            </w:tcBorders>
            <w:vAlign w:val="center"/>
          </w:tcPr>
          <w:p w14:paraId="02AEBCD7">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《浙江安吉农村商业银行股份有限公司“碳中和”银行建设规划》</w:t>
            </w:r>
          </w:p>
        </w:tc>
        <w:tc>
          <w:tcPr>
            <w:tcW w:w="1164" w:type="dxa"/>
            <w:tcBorders>
              <w:top w:val="single" w:color="auto" w:sz="4" w:space="0"/>
              <w:left w:val="single" w:color="auto" w:sz="4" w:space="0"/>
              <w:bottom w:val="single" w:color="auto" w:sz="4" w:space="0"/>
              <w:right w:val="single" w:color="auto" w:sz="4" w:space="0"/>
            </w:tcBorders>
            <w:vAlign w:val="center"/>
          </w:tcPr>
          <w:p w14:paraId="048F3B8E">
            <w:pPr>
              <w:pStyle w:val="44"/>
              <w:rPr>
                <w:rFonts w:ascii="Times New Roman" w:hAnsi="Times New Roman" w:eastAsia="宋体"/>
                <w:sz w:val="21"/>
                <w:szCs w:val="21"/>
              </w:rPr>
            </w:pPr>
            <w:r>
              <w:rPr>
                <w:rFonts w:ascii="Times New Roman" w:hAnsi="Times New Roman" w:eastAsia="宋体"/>
                <w:sz w:val="21"/>
                <w:szCs w:val="21"/>
              </w:rPr>
              <w:t>安农商银〔2021〕</w:t>
            </w:r>
          </w:p>
          <w:p w14:paraId="05EC79F4">
            <w:pPr>
              <w:pStyle w:val="44"/>
              <w:rPr>
                <w:rFonts w:ascii="Times New Roman" w:hAnsi="Times New Roman" w:eastAsia="宋体"/>
                <w:sz w:val="21"/>
                <w:szCs w:val="21"/>
              </w:rPr>
            </w:pPr>
            <w:r>
              <w:rPr>
                <w:rFonts w:ascii="Times New Roman" w:hAnsi="Times New Roman" w:eastAsia="宋体"/>
                <w:sz w:val="21"/>
                <w:szCs w:val="21"/>
              </w:rPr>
              <w:t>158号</w:t>
            </w:r>
          </w:p>
        </w:tc>
        <w:tc>
          <w:tcPr>
            <w:tcW w:w="725" w:type="dxa"/>
            <w:tcBorders>
              <w:top w:val="single" w:color="auto" w:sz="4" w:space="0"/>
              <w:left w:val="single" w:color="auto" w:sz="4" w:space="0"/>
              <w:bottom w:val="single" w:color="auto" w:sz="4" w:space="0"/>
              <w:right w:val="single" w:color="auto" w:sz="4" w:space="0"/>
            </w:tcBorders>
            <w:vAlign w:val="center"/>
          </w:tcPr>
          <w:p w14:paraId="5C0F350F">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4E737092">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根据“碳中和”银行建设的总体要求，从愿景目标、实施路径、能力建设等方面，制定本行“碳中和”银行建设路径图。</w:t>
            </w:r>
          </w:p>
        </w:tc>
        <w:tc>
          <w:tcPr>
            <w:tcW w:w="602" w:type="dxa"/>
            <w:tcBorders>
              <w:top w:val="single" w:color="auto" w:sz="4" w:space="0"/>
              <w:left w:val="single" w:color="auto" w:sz="4" w:space="0"/>
              <w:bottom w:val="single" w:color="auto" w:sz="4" w:space="0"/>
              <w:right w:val="single" w:color="auto" w:sz="4" w:space="0"/>
            </w:tcBorders>
            <w:vAlign w:val="center"/>
          </w:tcPr>
          <w:p w14:paraId="3DB2681B">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350A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2844695">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19</w:t>
            </w:r>
          </w:p>
        </w:tc>
        <w:tc>
          <w:tcPr>
            <w:tcW w:w="1732" w:type="dxa"/>
            <w:tcBorders>
              <w:top w:val="single" w:color="auto" w:sz="4" w:space="0"/>
              <w:left w:val="single" w:color="auto" w:sz="4" w:space="0"/>
              <w:bottom w:val="single" w:color="auto" w:sz="4" w:space="0"/>
              <w:right w:val="single" w:color="auto" w:sz="4" w:space="0"/>
            </w:tcBorders>
            <w:vAlign w:val="center"/>
          </w:tcPr>
          <w:p w14:paraId="1794827F">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《浙江安吉农村商业银行股份有限公司“碳中和”银行建设实施方案》</w:t>
            </w:r>
          </w:p>
        </w:tc>
        <w:tc>
          <w:tcPr>
            <w:tcW w:w="1164" w:type="dxa"/>
            <w:tcBorders>
              <w:top w:val="single" w:color="auto" w:sz="4" w:space="0"/>
              <w:left w:val="single" w:color="auto" w:sz="4" w:space="0"/>
              <w:bottom w:val="single" w:color="auto" w:sz="4" w:space="0"/>
              <w:right w:val="single" w:color="auto" w:sz="4" w:space="0"/>
            </w:tcBorders>
            <w:vAlign w:val="center"/>
          </w:tcPr>
          <w:p w14:paraId="375F0520">
            <w:pPr>
              <w:pStyle w:val="44"/>
              <w:rPr>
                <w:rFonts w:ascii="Times New Roman" w:hAnsi="Times New Roman" w:eastAsia="宋体"/>
                <w:sz w:val="21"/>
                <w:szCs w:val="21"/>
              </w:rPr>
            </w:pPr>
            <w:r>
              <w:rPr>
                <w:rFonts w:ascii="Times New Roman" w:hAnsi="Times New Roman" w:eastAsia="宋体"/>
                <w:sz w:val="21"/>
                <w:szCs w:val="21"/>
              </w:rPr>
              <w:t>安农商银〔2021〕</w:t>
            </w:r>
          </w:p>
          <w:p w14:paraId="53545EF0">
            <w:pPr>
              <w:pStyle w:val="44"/>
              <w:rPr>
                <w:rFonts w:ascii="Times New Roman" w:hAnsi="Times New Roman" w:eastAsia="宋体"/>
                <w:sz w:val="21"/>
                <w:szCs w:val="21"/>
              </w:rPr>
            </w:pPr>
            <w:r>
              <w:rPr>
                <w:rFonts w:ascii="Times New Roman" w:hAnsi="Times New Roman" w:eastAsia="宋体"/>
                <w:sz w:val="21"/>
                <w:szCs w:val="21"/>
              </w:rPr>
              <w:t>159号</w:t>
            </w:r>
          </w:p>
        </w:tc>
        <w:tc>
          <w:tcPr>
            <w:tcW w:w="725" w:type="dxa"/>
            <w:tcBorders>
              <w:top w:val="single" w:color="auto" w:sz="4" w:space="0"/>
              <w:left w:val="single" w:color="auto" w:sz="4" w:space="0"/>
              <w:bottom w:val="single" w:color="auto" w:sz="4" w:space="0"/>
              <w:right w:val="single" w:color="auto" w:sz="4" w:space="0"/>
            </w:tcBorders>
            <w:vAlign w:val="center"/>
          </w:tcPr>
          <w:p w14:paraId="66CAED82">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120689A4">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立足本行机构现状，从“碳中和”方法学出发，制定“碳中和”具体的目标规划、建设路径。</w:t>
            </w:r>
          </w:p>
        </w:tc>
        <w:tc>
          <w:tcPr>
            <w:tcW w:w="602" w:type="dxa"/>
            <w:tcBorders>
              <w:top w:val="single" w:color="auto" w:sz="4" w:space="0"/>
              <w:left w:val="single" w:color="auto" w:sz="4" w:space="0"/>
              <w:bottom w:val="single" w:color="auto" w:sz="4" w:space="0"/>
              <w:right w:val="single" w:color="auto" w:sz="4" w:space="0"/>
            </w:tcBorders>
            <w:vAlign w:val="center"/>
          </w:tcPr>
          <w:p w14:paraId="1FDB2442">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5A7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800F48C">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20</w:t>
            </w:r>
          </w:p>
        </w:tc>
        <w:tc>
          <w:tcPr>
            <w:tcW w:w="1732" w:type="dxa"/>
            <w:tcBorders>
              <w:top w:val="single" w:color="auto" w:sz="4" w:space="0"/>
              <w:left w:val="single" w:color="auto" w:sz="4" w:space="0"/>
              <w:bottom w:val="single" w:color="auto" w:sz="4" w:space="0"/>
              <w:right w:val="single" w:color="auto" w:sz="4" w:space="0"/>
            </w:tcBorders>
            <w:vAlign w:val="center"/>
          </w:tcPr>
          <w:p w14:paraId="57B2995E">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《浙江安吉农村商业银行股份有限公司“绿色信用户”“绿色信用村”“绿色信用乡”创建试点实施方案》</w:t>
            </w:r>
          </w:p>
        </w:tc>
        <w:tc>
          <w:tcPr>
            <w:tcW w:w="1164" w:type="dxa"/>
            <w:tcBorders>
              <w:top w:val="single" w:color="auto" w:sz="4" w:space="0"/>
              <w:left w:val="single" w:color="auto" w:sz="4" w:space="0"/>
              <w:bottom w:val="single" w:color="auto" w:sz="4" w:space="0"/>
              <w:right w:val="single" w:color="auto" w:sz="4" w:space="0"/>
            </w:tcBorders>
            <w:vAlign w:val="center"/>
          </w:tcPr>
          <w:p w14:paraId="79B28463">
            <w:pPr>
              <w:pStyle w:val="44"/>
              <w:rPr>
                <w:rFonts w:ascii="Times New Roman" w:hAnsi="Times New Roman" w:eastAsia="宋体"/>
                <w:sz w:val="21"/>
                <w:szCs w:val="21"/>
              </w:rPr>
            </w:pPr>
            <w:r>
              <w:rPr>
                <w:rFonts w:ascii="Times New Roman" w:hAnsi="Times New Roman" w:eastAsia="宋体"/>
                <w:sz w:val="21"/>
                <w:szCs w:val="21"/>
              </w:rPr>
              <w:t>安农商银〔2021〕</w:t>
            </w:r>
          </w:p>
          <w:p w14:paraId="508DB09E">
            <w:pPr>
              <w:pStyle w:val="44"/>
              <w:rPr>
                <w:rFonts w:ascii="Times New Roman" w:hAnsi="Times New Roman" w:eastAsia="宋体"/>
                <w:sz w:val="21"/>
                <w:szCs w:val="21"/>
              </w:rPr>
            </w:pPr>
            <w:r>
              <w:rPr>
                <w:rFonts w:ascii="Times New Roman" w:hAnsi="Times New Roman" w:eastAsia="宋体"/>
                <w:sz w:val="21"/>
                <w:szCs w:val="21"/>
              </w:rPr>
              <w:t>170号</w:t>
            </w:r>
          </w:p>
        </w:tc>
        <w:tc>
          <w:tcPr>
            <w:tcW w:w="725" w:type="dxa"/>
            <w:tcBorders>
              <w:top w:val="single" w:color="auto" w:sz="4" w:space="0"/>
              <w:left w:val="single" w:color="auto" w:sz="4" w:space="0"/>
              <w:bottom w:val="single" w:color="auto" w:sz="4" w:space="0"/>
              <w:right w:val="single" w:color="auto" w:sz="4" w:space="0"/>
            </w:tcBorders>
            <w:vAlign w:val="center"/>
          </w:tcPr>
          <w:p w14:paraId="66BD718A">
            <w:pPr>
              <w:pStyle w:val="44"/>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14:paraId="0CB9BAAA">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 xml:space="preserve"> “绿色信用户”、“绿色信用村（社区）”、“绿色信用乡镇（街道）”的具体创建标准及评定流程。</w:t>
            </w:r>
          </w:p>
        </w:tc>
        <w:tc>
          <w:tcPr>
            <w:tcW w:w="602" w:type="dxa"/>
            <w:tcBorders>
              <w:top w:val="single" w:color="auto" w:sz="4" w:space="0"/>
              <w:left w:val="single" w:color="auto" w:sz="4" w:space="0"/>
              <w:bottom w:val="single" w:color="auto" w:sz="4" w:space="0"/>
              <w:right w:val="single" w:color="auto" w:sz="4" w:space="0"/>
            </w:tcBorders>
            <w:vAlign w:val="center"/>
          </w:tcPr>
          <w:p w14:paraId="4C3AC514">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28C7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25C4276">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21</w:t>
            </w:r>
          </w:p>
        </w:tc>
        <w:tc>
          <w:tcPr>
            <w:tcW w:w="1732" w:type="dxa"/>
            <w:tcBorders>
              <w:top w:val="single" w:color="auto" w:sz="4" w:space="0"/>
              <w:left w:val="single" w:color="auto" w:sz="4" w:space="0"/>
              <w:bottom w:val="single" w:color="auto" w:sz="4" w:space="0"/>
              <w:right w:val="single" w:color="auto" w:sz="4" w:space="0"/>
            </w:tcBorders>
            <w:vAlign w:val="center"/>
          </w:tcPr>
          <w:p w14:paraId="286E4797">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《浙江安吉农村商业银行股份有限公司“竹林碳汇贷”贷款管理办法(试行)》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29BD3178">
            <w:pPr>
              <w:pStyle w:val="44"/>
              <w:rPr>
                <w:rFonts w:ascii="Times New Roman" w:hAnsi="Times New Roman" w:eastAsia="宋体"/>
                <w:sz w:val="21"/>
                <w:szCs w:val="21"/>
              </w:rPr>
            </w:pPr>
            <w:r>
              <w:rPr>
                <w:rFonts w:ascii="Times New Roman" w:hAnsi="Times New Roman" w:eastAsia="宋体"/>
                <w:sz w:val="21"/>
                <w:szCs w:val="21"/>
              </w:rPr>
              <w:t>安农商银〔2021〕</w:t>
            </w:r>
          </w:p>
          <w:p w14:paraId="5A1F8941">
            <w:pPr>
              <w:pStyle w:val="44"/>
              <w:rPr>
                <w:rFonts w:ascii="Times New Roman" w:hAnsi="Times New Roman" w:eastAsia="宋体"/>
                <w:sz w:val="21"/>
                <w:szCs w:val="21"/>
              </w:rPr>
            </w:pPr>
            <w:r>
              <w:rPr>
                <w:rFonts w:ascii="Times New Roman" w:hAnsi="Times New Roman" w:eastAsia="宋体"/>
                <w:sz w:val="21"/>
                <w:szCs w:val="21"/>
              </w:rPr>
              <w:t>272号</w:t>
            </w:r>
          </w:p>
        </w:tc>
        <w:tc>
          <w:tcPr>
            <w:tcW w:w="725" w:type="dxa"/>
            <w:tcBorders>
              <w:top w:val="single" w:color="auto" w:sz="4" w:space="0"/>
              <w:left w:val="single" w:color="auto" w:sz="4" w:space="0"/>
              <w:bottom w:val="single" w:color="auto" w:sz="4" w:space="0"/>
              <w:right w:val="single" w:color="auto" w:sz="4" w:space="0"/>
            </w:tcBorders>
            <w:vAlign w:val="center"/>
          </w:tcPr>
          <w:p w14:paraId="06E17974">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12FD0DC4">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为更好地促进生态资产价值转化，面向县域企业、个体户或个人客户推出由竹林碳汇作为质押物的贷款产品，并制定具体操作细则。</w:t>
            </w:r>
          </w:p>
        </w:tc>
        <w:tc>
          <w:tcPr>
            <w:tcW w:w="602" w:type="dxa"/>
            <w:tcBorders>
              <w:top w:val="single" w:color="auto" w:sz="4" w:space="0"/>
              <w:left w:val="single" w:color="auto" w:sz="4" w:space="0"/>
              <w:bottom w:val="single" w:color="auto" w:sz="4" w:space="0"/>
              <w:right w:val="single" w:color="auto" w:sz="4" w:space="0"/>
            </w:tcBorders>
            <w:vAlign w:val="center"/>
          </w:tcPr>
          <w:p w14:paraId="1105DBA4">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090F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8290934">
            <w:pPr>
              <w:pStyle w:val="44"/>
              <w:autoSpaceDE w:val="0"/>
              <w:autoSpaceDN w:val="0"/>
              <w:adjustRightInd w:val="0"/>
              <w:rPr>
                <w:rFonts w:ascii="Times New Roman" w:hAnsi="Times New Roman" w:eastAsia="宋体"/>
                <w:sz w:val="21"/>
                <w:szCs w:val="21"/>
                <w:lang w:val="en-US"/>
              </w:rPr>
            </w:pPr>
            <w:r>
              <w:rPr>
                <w:rFonts w:hint="eastAsia" w:ascii="Times New Roman" w:hAnsi="Times New Roman" w:eastAsia="宋体"/>
                <w:sz w:val="21"/>
                <w:szCs w:val="21"/>
                <w:lang w:val="en-US"/>
              </w:rPr>
              <w:t>22</w:t>
            </w:r>
          </w:p>
        </w:tc>
        <w:tc>
          <w:tcPr>
            <w:tcW w:w="1732" w:type="dxa"/>
            <w:tcBorders>
              <w:top w:val="single" w:color="auto" w:sz="4" w:space="0"/>
              <w:left w:val="single" w:color="auto" w:sz="4" w:space="0"/>
              <w:bottom w:val="single" w:color="auto" w:sz="4" w:space="0"/>
              <w:right w:val="single" w:color="auto" w:sz="4" w:space="0"/>
            </w:tcBorders>
            <w:vAlign w:val="center"/>
          </w:tcPr>
          <w:p w14:paraId="7952E12F">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《浙江安吉农村商业银行股份有限公司“碳效贷”贷款管理办法（试行）》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7B95CB58">
            <w:pPr>
              <w:pStyle w:val="44"/>
              <w:rPr>
                <w:rFonts w:ascii="Times New Roman" w:hAnsi="Times New Roman" w:eastAsia="宋体"/>
                <w:sz w:val="21"/>
                <w:szCs w:val="21"/>
              </w:rPr>
            </w:pPr>
            <w:r>
              <w:rPr>
                <w:rFonts w:ascii="Times New Roman" w:hAnsi="Times New Roman" w:eastAsia="宋体"/>
                <w:sz w:val="21"/>
                <w:szCs w:val="21"/>
              </w:rPr>
              <w:t>安农商银〔2021〕</w:t>
            </w:r>
          </w:p>
          <w:p w14:paraId="3CA6F82A">
            <w:pPr>
              <w:pStyle w:val="44"/>
              <w:rPr>
                <w:rFonts w:ascii="Times New Roman" w:hAnsi="Times New Roman" w:eastAsia="宋体"/>
                <w:sz w:val="21"/>
                <w:szCs w:val="21"/>
              </w:rPr>
            </w:pPr>
            <w:r>
              <w:rPr>
                <w:rFonts w:ascii="Times New Roman" w:hAnsi="Times New Roman" w:eastAsia="宋体"/>
                <w:sz w:val="21"/>
                <w:szCs w:val="21"/>
              </w:rPr>
              <w:t>390号</w:t>
            </w:r>
          </w:p>
        </w:tc>
        <w:tc>
          <w:tcPr>
            <w:tcW w:w="725" w:type="dxa"/>
            <w:tcBorders>
              <w:top w:val="single" w:color="auto" w:sz="4" w:space="0"/>
              <w:left w:val="single" w:color="auto" w:sz="4" w:space="0"/>
              <w:bottom w:val="single" w:color="auto" w:sz="4" w:space="0"/>
              <w:right w:val="single" w:color="auto" w:sz="4" w:space="0"/>
            </w:tcBorders>
            <w:vAlign w:val="center"/>
          </w:tcPr>
          <w:p w14:paraId="6C8B2D36">
            <w:pPr>
              <w:pStyle w:val="44"/>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3252552C">
            <w:pPr>
              <w:pStyle w:val="44"/>
              <w:autoSpaceDE w:val="0"/>
              <w:autoSpaceDN w:val="0"/>
              <w:adjustRightInd w:val="0"/>
              <w:ind w:firstLine="422"/>
              <w:jc w:val="both"/>
              <w:rPr>
                <w:rFonts w:ascii="Times New Roman" w:hAnsi="Times New Roman" w:eastAsia="宋体"/>
                <w:sz w:val="21"/>
                <w:szCs w:val="21"/>
              </w:rPr>
            </w:pPr>
            <w:r>
              <w:rPr>
                <w:rFonts w:ascii="Times New Roman" w:hAnsi="Times New Roman" w:eastAsia="宋体"/>
                <w:sz w:val="21"/>
                <w:szCs w:val="21"/>
              </w:rPr>
              <w:t>为支持县域中小微企业节能降耗、低碳生产工艺改进、车间厂房绿色化改造等,针对已纳入工业碳效对标管理的企业，创新推出“碳效贷”助力贷产品，并制定具体操作细则。</w:t>
            </w:r>
          </w:p>
        </w:tc>
        <w:tc>
          <w:tcPr>
            <w:tcW w:w="602" w:type="dxa"/>
            <w:tcBorders>
              <w:top w:val="single" w:color="auto" w:sz="4" w:space="0"/>
              <w:left w:val="single" w:color="auto" w:sz="4" w:space="0"/>
              <w:bottom w:val="single" w:color="auto" w:sz="4" w:space="0"/>
              <w:right w:val="single" w:color="auto" w:sz="4" w:space="0"/>
            </w:tcBorders>
            <w:vAlign w:val="center"/>
          </w:tcPr>
          <w:p w14:paraId="1B9A49D6">
            <w:pPr>
              <w:pStyle w:val="44"/>
              <w:jc w:val="both"/>
              <w:rPr>
                <w:rFonts w:ascii="Times New Roman" w:hAnsi="Times New Roman" w:eastAsia="宋体"/>
                <w:sz w:val="21"/>
                <w:szCs w:val="21"/>
              </w:rPr>
            </w:pPr>
            <w:r>
              <w:rPr>
                <w:rFonts w:ascii="Times New Roman" w:hAnsi="Times New Roman" w:eastAsia="宋体"/>
                <w:sz w:val="21"/>
                <w:szCs w:val="21"/>
              </w:rPr>
              <w:t>已建立</w:t>
            </w:r>
          </w:p>
        </w:tc>
      </w:tr>
      <w:tr w14:paraId="6CC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A90B8AA">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23</w:t>
            </w:r>
          </w:p>
        </w:tc>
        <w:tc>
          <w:tcPr>
            <w:tcW w:w="1732" w:type="dxa"/>
            <w:tcBorders>
              <w:top w:val="single" w:color="auto" w:sz="4" w:space="0"/>
              <w:left w:val="single" w:color="auto" w:sz="4" w:space="0"/>
              <w:bottom w:val="single" w:color="auto" w:sz="4" w:space="0"/>
              <w:right w:val="single" w:color="auto" w:sz="4" w:space="0"/>
            </w:tcBorders>
            <w:vAlign w:val="center"/>
          </w:tcPr>
          <w:p w14:paraId="0D091965">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《浙江安吉农村商业银行股份有限公司“碳汇收储贷”贷款管理办法（试行）》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14:paraId="311FDDAE">
            <w:pPr>
              <w:pStyle w:val="44"/>
              <w:rPr>
                <w:rFonts w:ascii="Times New Roman" w:hAnsi="Times New Roman" w:eastAsia="宋体"/>
                <w:sz w:val="21"/>
                <w:szCs w:val="21"/>
                <w:lang w:val="en-US"/>
              </w:rPr>
            </w:pPr>
            <w:r>
              <w:rPr>
                <w:rFonts w:ascii="Times New Roman" w:hAnsi="Times New Roman" w:eastAsia="宋体"/>
                <w:sz w:val="21"/>
                <w:szCs w:val="21"/>
              </w:rPr>
              <w:t>安农商银〔2022〕39 号</w:t>
            </w:r>
          </w:p>
        </w:tc>
        <w:tc>
          <w:tcPr>
            <w:tcW w:w="725" w:type="dxa"/>
            <w:tcBorders>
              <w:top w:val="single" w:color="auto" w:sz="4" w:space="0"/>
              <w:left w:val="single" w:color="auto" w:sz="4" w:space="0"/>
              <w:bottom w:val="single" w:color="auto" w:sz="4" w:space="0"/>
              <w:right w:val="single" w:color="auto" w:sz="4" w:space="0"/>
            </w:tcBorders>
            <w:vAlign w:val="center"/>
          </w:tcPr>
          <w:p w14:paraId="2E883993">
            <w:pPr>
              <w:pStyle w:val="44"/>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14:paraId="3B157C51">
            <w:pPr>
              <w:pStyle w:val="44"/>
              <w:ind w:firstLine="422"/>
              <w:jc w:val="both"/>
              <w:rPr>
                <w:rFonts w:ascii="Times New Roman" w:hAnsi="Times New Roman" w:eastAsia="宋体"/>
                <w:sz w:val="21"/>
                <w:szCs w:val="21"/>
              </w:rPr>
            </w:pPr>
            <w:r>
              <w:rPr>
                <w:rFonts w:ascii="Times New Roman" w:hAnsi="Times New Roman" w:eastAsia="宋体"/>
                <w:sz w:val="21"/>
                <w:szCs w:val="21"/>
              </w:rPr>
              <w:t>针对县域国有资本控股企业，推出专项用于储备林业碳汇资源的贷款产品，并制定具体的操作细则。</w:t>
            </w:r>
          </w:p>
        </w:tc>
        <w:tc>
          <w:tcPr>
            <w:tcW w:w="602" w:type="dxa"/>
            <w:tcBorders>
              <w:top w:val="single" w:color="auto" w:sz="4" w:space="0"/>
              <w:left w:val="single" w:color="auto" w:sz="4" w:space="0"/>
              <w:bottom w:val="single" w:color="auto" w:sz="4" w:space="0"/>
              <w:right w:val="single" w:color="auto" w:sz="4" w:space="0"/>
            </w:tcBorders>
            <w:vAlign w:val="center"/>
          </w:tcPr>
          <w:p w14:paraId="424F06F1">
            <w:pPr>
              <w:pStyle w:val="44"/>
              <w:jc w:val="both"/>
              <w:rPr>
                <w:rFonts w:ascii="Times New Roman" w:hAnsi="Times New Roman" w:eastAsia="宋体"/>
                <w:sz w:val="21"/>
                <w:szCs w:val="21"/>
              </w:rPr>
            </w:pPr>
            <w:r>
              <w:rPr>
                <w:rFonts w:ascii="Times New Roman" w:hAnsi="Times New Roman" w:eastAsia="宋体"/>
                <w:sz w:val="21"/>
                <w:szCs w:val="21"/>
                <w:lang w:val="en-US"/>
              </w:rPr>
              <w:t>已建立</w:t>
            </w:r>
          </w:p>
        </w:tc>
      </w:tr>
      <w:tr w14:paraId="0943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22EF34A8">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24</w:t>
            </w:r>
          </w:p>
        </w:tc>
        <w:tc>
          <w:tcPr>
            <w:tcW w:w="1732" w:type="dxa"/>
            <w:vAlign w:val="center"/>
          </w:tcPr>
          <w:p w14:paraId="4DC3D3CB">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《浙江安吉农村商业银行股份有限公司“碳汇惠企贷”贷款管理办法（试行）》</w:t>
            </w:r>
          </w:p>
        </w:tc>
        <w:tc>
          <w:tcPr>
            <w:tcW w:w="1164" w:type="dxa"/>
            <w:vAlign w:val="center"/>
          </w:tcPr>
          <w:p w14:paraId="6CA0E683">
            <w:pPr>
              <w:pStyle w:val="44"/>
              <w:rPr>
                <w:rFonts w:ascii="Times New Roman" w:hAnsi="Times New Roman" w:eastAsia="宋体"/>
                <w:sz w:val="21"/>
                <w:szCs w:val="21"/>
                <w:lang w:val="en-US"/>
              </w:rPr>
            </w:pPr>
            <w:r>
              <w:rPr>
                <w:rFonts w:ascii="Times New Roman" w:hAnsi="Times New Roman" w:eastAsia="宋体"/>
                <w:sz w:val="21"/>
                <w:szCs w:val="21"/>
              </w:rPr>
              <w:t>安农商银〔2022〕40 号</w:t>
            </w:r>
          </w:p>
        </w:tc>
        <w:tc>
          <w:tcPr>
            <w:tcW w:w="725" w:type="dxa"/>
            <w:vAlign w:val="center"/>
          </w:tcPr>
          <w:p w14:paraId="73B832A3">
            <w:pPr>
              <w:pStyle w:val="44"/>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vAlign w:val="center"/>
          </w:tcPr>
          <w:p w14:paraId="7C7B8B93">
            <w:pPr>
              <w:pStyle w:val="44"/>
              <w:ind w:firstLine="422"/>
              <w:jc w:val="both"/>
              <w:rPr>
                <w:rFonts w:ascii="Times New Roman" w:hAnsi="Times New Roman" w:eastAsia="宋体"/>
                <w:sz w:val="21"/>
                <w:szCs w:val="21"/>
              </w:rPr>
            </w:pPr>
            <w:r>
              <w:rPr>
                <w:rFonts w:ascii="Times New Roman" w:hAnsi="Times New Roman" w:eastAsia="宋体"/>
                <w:sz w:val="21"/>
                <w:szCs w:val="21"/>
              </w:rPr>
              <w:t>针对县域符合条件的企(事)业法人、农</w:t>
            </w:r>
          </w:p>
          <w:p w14:paraId="2AA68A0E">
            <w:pPr>
              <w:pStyle w:val="44"/>
              <w:ind w:firstLine="422"/>
              <w:jc w:val="both"/>
              <w:rPr>
                <w:rFonts w:ascii="Times New Roman" w:hAnsi="Times New Roman" w:eastAsia="宋体"/>
                <w:sz w:val="21"/>
                <w:szCs w:val="21"/>
              </w:rPr>
            </w:pPr>
            <w:r>
              <w:rPr>
                <w:rFonts w:ascii="Times New Roman" w:hAnsi="Times New Roman" w:eastAsia="宋体"/>
                <w:sz w:val="21"/>
                <w:szCs w:val="21"/>
              </w:rPr>
              <w:t>民专业合作社或其他经济组织，推出专项用于购买林业碳汇的贷款产品，并制定具体的操作细则。</w:t>
            </w:r>
          </w:p>
        </w:tc>
        <w:tc>
          <w:tcPr>
            <w:tcW w:w="602" w:type="dxa"/>
            <w:vAlign w:val="center"/>
          </w:tcPr>
          <w:p w14:paraId="520AF41B">
            <w:pPr>
              <w:pStyle w:val="44"/>
              <w:rPr>
                <w:rFonts w:ascii="Times New Roman" w:hAnsi="Times New Roman" w:eastAsia="宋体"/>
                <w:sz w:val="21"/>
                <w:szCs w:val="21"/>
              </w:rPr>
            </w:pPr>
            <w:r>
              <w:rPr>
                <w:rFonts w:ascii="Times New Roman" w:hAnsi="Times New Roman" w:eastAsia="宋体"/>
                <w:sz w:val="21"/>
                <w:szCs w:val="21"/>
              </w:rPr>
              <w:t>已建立</w:t>
            </w:r>
          </w:p>
        </w:tc>
      </w:tr>
      <w:tr w14:paraId="245D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0054C7DA">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25</w:t>
            </w:r>
          </w:p>
        </w:tc>
        <w:tc>
          <w:tcPr>
            <w:tcW w:w="1732" w:type="dxa"/>
          </w:tcPr>
          <w:p w14:paraId="4F83936B">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《浙江安吉农村商业银行股份有限公司“碳汇共富贷”贷款管理办法（试行）》</w:t>
            </w:r>
          </w:p>
        </w:tc>
        <w:tc>
          <w:tcPr>
            <w:tcW w:w="1164" w:type="dxa"/>
            <w:vAlign w:val="center"/>
          </w:tcPr>
          <w:p w14:paraId="05BB4392">
            <w:pPr>
              <w:pStyle w:val="44"/>
              <w:rPr>
                <w:rFonts w:ascii="Times New Roman" w:hAnsi="Times New Roman" w:eastAsia="宋体"/>
                <w:sz w:val="21"/>
                <w:szCs w:val="21"/>
                <w:lang w:val="en-US"/>
              </w:rPr>
            </w:pPr>
            <w:r>
              <w:rPr>
                <w:rFonts w:ascii="Times New Roman" w:hAnsi="Times New Roman" w:eastAsia="宋体"/>
                <w:sz w:val="21"/>
                <w:szCs w:val="21"/>
              </w:rPr>
              <w:t>安农商银〔2022〕51 号</w:t>
            </w:r>
          </w:p>
        </w:tc>
        <w:tc>
          <w:tcPr>
            <w:tcW w:w="725" w:type="dxa"/>
            <w:vAlign w:val="center"/>
          </w:tcPr>
          <w:p w14:paraId="7C1BF5C7">
            <w:pPr>
              <w:pStyle w:val="44"/>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vAlign w:val="center"/>
          </w:tcPr>
          <w:p w14:paraId="57B0C6E8">
            <w:pPr>
              <w:pStyle w:val="44"/>
              <w:ind w:firstLine="422"/>
              <w:jc w:val="both"/>
              <w:rPr>
                <w:rFonts w:ascii="Times New Roman" w:hAnsi="Times New Roman" w:eastAsia="宋体"/>
                <w:sz w:val="21"/>
                <w:szCs w:val="21"/>
              </w:rPr>
            </w:pPr>
            <w:r>
              <w:rPr>
                <w:rFonts w:ascii="Times New Roman" w:hAnsi="Times New Roman" w:eastAsia="宋体"/>
                <w:sz w:val="21"/>
                <w:szCs w:val="21"/>
              </w:rPr>
              <w:t>针对县域符合条件的企业、村集体组织及农户，推出专项用于林业培育改造、固碳增汇产业的贷款产品，并制定具体操作细则。</w:t>
            </w:r>
          </w:p>
        </w:tc>
        <w:tc>
          <w:tcPr>
            <w:tcW w:w="602" w:type="dxa"/>
            <w:vAlign w:val="center"/>
          </w:tcPr>
          <w:p w14:paraId="33CB969C">
            <w:pPr>
              <w:pStyle w:val="44"/>
              <w:rPr>
                <w:rFonts w:ascii="Times New Roman" w:hAnsi="Times New Roman" w:eastAsia="宋体"/>
                <w:sz w:val="21"/>
                <w:szCs w:val="21"/>
                <w:lang w:eastAsia="zh-TW"/>
              </w:rPr>
            </w:pPr>
            <w:r>
              <w:rPr>
                <w:rFonts w:ascii="Times New Roman" w:hAnsi="Times New Roman" w:eastAsia="宋体"/>
                <w:sz w:val="21"/>
                <w:szCs w:val="21"/>
              </w:rPr>
              <w:t>已建立</w:t>
            </w:r>
          </w:p>
        </w:tc>
      </w:tr>
      <w:tr w14:paraId="09DF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3BBB5CE8">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26</w:t>
            </w:r>
          </w:p>
        </w:tc>
        <w:tc>
          <w:tcPr>
            <w:tcW w:w="1732" w:type="dxa"/>
          </w:tcPr>
          <w:p w14:paraId="1DE80C98">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《浙江安吉农村商业银行股份有限公司关于支持转型金融发展的实施意见》</w:t>
            </w:r>
          </w:p>
        </w:tc>
        <w:tc>
          <w:tcPr>
            <w:tcW w:w="1164" w:type="dxa"/>
            <w:vAlign w:val="center"/>
          </w:tcPr>
          <w:p w14:paraId="6A37F4AA">
            <w:pPr>
              <w:pStyle w:val="44"/>
              <w:rPr>
                <w:rFonts w:ascii="Times New Roman" w:hAnsi="Times New Roman" w:eastAsia="宋体"/>
                <w:sz w:val="21"/>
                <w:szCs w:val="21"/>
                <w:lang w:val="en-US"/>
              </w:rPr>
            </w:pPr>
            <w:r>
              <w:rPr>
                <w:rFonts w:ascii="Times New Roman" w:hAnsi="Times New Roman" w:eastAsia="宋体"/>
                <w:sz w:val="21"/>
                <w:szCs w:val="21"/>
              </w:rPr>
              <w:t>安农商银〔2022〕121 号</w:t>
            </w:r>
          </w:p>
        </w:tc>
        <w:tc>
          <w:tcPr>
            <w:tcW w:w="725" w:type="dxa"/>
            <w:vAlign w:val="center"/>
          </w:tcPr>
          <w:p w14:paraId="7FB2089A">
            <w:pPr>
              <w:pStyle w:val="44"/>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vAlign w:val="center"/>
          </w:tcPr>
          <w:p w14:paraId="6C00FCE5">
            <w:pPr>
              <w:pStyle w:val="44"/>
              <w:ind w:firstLine="422"/>
              <w:jc w:val="both"/>
              <w:rPr>
                <w:rFonts w:ascii="Times New Roman" w:hAnsi="Times New Roman" w:eastAsia="宋体"/>
                <w:sz w:val="21"/>
                <w:szCs w:val="21"/>
                <w:lang w:val="en-US"/>
              </w:rPr>
            </w:pPr>
            <w:r>
              <w:rPr>
                <w:rFonts w:ascii="Times New Roman" w:hAnsi="Times New Roman" w:eastAsia="宋体"/>
                <w:sz w:val="21"/>
                <w:szCs w:val="21"/>
              </w:rPr>
              <w:t>从探索转型金融标准、创新转型金融产品、落实差异化信贷政策、依托数智平台支撑、量化转型金融考核、防控转型金融风险等方面入手，细化本行支持转型金融发展的实施路径。</w:t>
            </w:r>
          </w:p>
        </w:tc>
        <w:tc>
          <w:tcPr>
            <w:tcW w:w="602" w:type="dxa"/>
            <w:vAlign w:val="center"/>
          </w:tcPr>
          <w:p w14:paraId="7CF2CE41">
            <w:pPr>
              <w:pStyle w:val="44"/>
              <w:rPr>
                <w:rFonts w:ascii="Times New Roman" w:hAnsi="Times New Roman" w:eastAsia="宋体"/>
                <w:sz w:val="21"/>
                <w:szCs w:val="21"/>
                <w:lang w:eastAsia="zh-TW"/>
              </w:rPr>
            </w:pPr>
            <w:r>
              <w:rPr>
                <w:rFonts w:ascii="Times New Roman" w:hAnsi="Times New Roman" w:eastAsia="宋体"/>
                <w:sz w:val="21"/>
                <w:szCs w:val="21"/>
              </w:rPr>
              <w:t>已建立</w:t>
            </w:r>
          </w:p>
        </w:tc>
      </w:tr>
      <w:tr w14:paraId="2D8C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61C64434">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27</w:t>
            </w:r>
          </w:p>
        </w:tc>
        <w:tc>
          <w:tcPr>
            <w:tcW w:w="1732" w:type="dxa"/>
          </w:tcPr>
          <w:p w14:paraId="0E337761">
            <w:pPr>
              <w:pStyle w:val="44"/>
              <w:ind w:firstLine="422"/>
              <w:jc w:val="both"/>
              <w:rPr>
                <w:rFonts w:ascii="Times New Roman" w:hAnsi="Times New Roman" w:eastAsia="宋体"/>
                <w:sz w:val="21"/>
                <w:szCs w:val="21"/>
              </w:rPr>
            </w:pPr>
            <w:r>
              <w:rPr>
                <w:rFonts w:ascii="Times New Roman" w:hAnsi="Times New Roman" w:eastAsia="宋体"/>
                <w:sz w:val="21"/>
                <w:szCs w:val="21"/>
              </w:rPr>
              <w:t>《浙江安吉农村商业银行股份有限公司</w:t>
            </w:r>
            <w:r>
              <w:rPr>
                <w:rFonts w:ascii="Times New Roman" w:hAnsi="Times New Roman" w:eastAsia="宋体"/>
                <w:sz w:val="21"/>
                <w:szCs w:val="21"/>
                <w:lang w:val="en-US" w:eastAsia="zh-Hans"/>
              </w:rPr>
              <w:t>绿色普惠金融发展五年规划</w:t>
            </w:r>
            <w:r>
              <w:rPr>
                <w:rFonts w:ascii="Times New Roman" w:hAnsi="Times New Roman" w:eastAsia="宋体"/>
                <w:sz w:val="21"/>
                <w:szCs w:val="21"/>
              </w:rPr>
              <w:t>》</w:t>
            </w:r>
          </w:p>
        </w:tc>
        <w:tc>
          <w:tcPr>
            <w:tcW w:w="1164" w:type="dxa"/>
            <w:vAlign w:val="center"/>
          </w:tcPr>
          <w:p w14:paraId="67777AB6">
            <w:pPr>
              <w:pStyle w:val="44"/>
              <w:rPr>
                <w:rFonts w:ascii="Times New Roman" w:hAnsi="Times New Roman" w:eastAsia="宋体"/>
                <w:sz w:val="21"/>
                <w:szCs w:val="21"/>
              </w:rPr>
            </w:pPr>
            <w:r>
              <w:rPr>
                <w:rFonts w:ascii="Times New Roman" w:hAnsi="Times New Roman" w:eastAsia="宋体"/>
                <w:sz w:val="21"/>
                <w:szCs w:val="21"/>
              </w:rPr>
              <w:t>安农商银〔2022〕313 号</w:t>
            </w:r>
          </w:p>
        </w:tc>
        <w:tc>
          <w:tcPr>
            <w:tcW w:w="725" w:type="dxa"/>
            <w:vAlign w:val="center"/>
          </w:tcPr>
          <w:p w14:paraId="6DAB73FA">
            <w:pPr>
              <w:pStyle w:val="44"/>
              <w:rPr>
                <w:rFonts w:ascii="Times New Roman" w:hAnsi="Times New Roman" w:eastAsia="宋体"/>
                <w:sz w:val="21"/>
                <w:szCs w:val="21"/>
                <w:lang w:eastAsia="zh-Hans"/>
              </w:rPr>
            </w:pPr>
            <w:r>
              <w:rPr>
                <w:rFonts w:ascii="Times New Roman" w:hAnsi="Times New Roman" w:eastAsia="宋体"/>
                <w:sz w:val="21"/>
                <w:szCs w:val="21"/>
                <w:lang w:val="en-US" w:eastAsia="zh-Hans"/>
              </w:rPr>
              <w:t>规划</w:t>
            </w:r>
          </w:p>
        </w:tc>
        <w:tc>
          <w:tcPr>
            <w:tcW w:w="3861" w:type="dxa"/>
            <w:vAlign w:val="center"/>
          </w:tcPr>
          <w:p w14:paraId="658D322F">
            <w:pPr>
              <w:pStyle w:val="44"/>
              <w:ind w:firstLine="422"/>
              <w:jc w:val="both"/>
              <w:rPr>
                <w:rFonts w:ascii="Times New Roman" w:hAnsi="Times New Roman" w:eastAsia="宋体"/>
                <w:sz w:val="21"/>
                <w:szCs w:val="21"/>
                <w:lang w:eastAsia="zh-Hans"/>
              </w:rPr>
            </w:pPr>
            <w:r>
              <w:rPr>
                <w:rFonts w:ascii="Times New Roman" w:hAnsi="Times New Roman" w:eastAsia="宋体"/>
                <w:sz w:val="21"/>
                <w:szCs w:val="21"/>
                <w:lang w:val="en-US" w:eastAsia="zh-Hans"/>
              </w:rPr>
              <w:t>从四项原则</w:t>
            </w:r>
            <w:r>
              <w:rPr>
                <w:rFonts w:ascii="Times New Roman" w:hAnsi="Times New Roman" w:eastAsia="宋体"/>
                <w:sz w:val="21"/>
                <w:szCs w:val="21"/>
                <w:lang w:eastAsia="zh-Hans"/>
              </w:rPr>
              <w:t>、</w:t>
            </w:r>
            <w:r>
              <w:rPr>
                <w:rFonts w:ascii="Times New Roman" w:hAnsi="Times New Roman" w:eastAsia="宋体"/>
                <w:sz w:val="21"/>
                <w:szCs w:val="21"/>
                <w:lang w:val="en-US" w:eastAsia="zh-Hans"/>
              </w:rPr>
              <w:t>五个目标</w:t>
            </w:r>
            <w:r>
              <w:rPr>
                <w:rFonts w:ascii="Times New Roman" w:hAnsi="Times New Roman" w:eastAsia="宋体"/>
                <w:sz w:val="21"/>
                <w:szCs w:val="21"/>
                <w:lang w:eastAsia="zh-Hans"/>
              </w:rPr>
              <w:t>、</w:t>
            </w:r>
            <w:r>
              <w:rPr>
                <w:rFonts w:ascii="Times New Roman" w:hAnsi="Times New Roman" w:eastAsia="宋体"/>
                <w:sz w:val="21"/>
                <w:szCs w:val="21"/>
                <w:lang w:val="en-US" w:eastAsia="zh-Hans"/>
              </w:rPr>
              <w:t>六大提升工程入手</w:t>
            </w:r>
            <w:r>
              <w:rPr>
                <w:rFonts w:ascii="Times New Roman" w:hAnsi="Times New Roman" w:eastAsia="宋体"/>
                <w:sz w:val="21"/>
                <w:szCs w:val="21"/>
                <w:lang w:eastAsia="zh-Hans"/>
              </w:rPr>
              <w:t>，</w:t>
            </w:r>
            <w:r>
              <w:rPr>
                <w:rFonts w:ascii="Times New Roman" w:hAnsi="Times New Roman" w:eastAsia="宋体"/>
                <w:sz w:val="21"/>
                <w:szCs w:val="21"/>
                <w:lang w:val="en-US" w:eastAsia="zh-Hans"/>
              </w:rPr>
              <w:t>规划未来五年本行绿色普惠金融发展方向和实施路径</w:t>
            </w:r>
            <w:r>
              <w:rPr>
                <w:rFonts w:ascii="Times New Roman" w:hAnsi="Times New Roman" w:eastAsia="宋体"/>
                <w:sz w:val="21"/>
                <w:szCs w:val="21"/>
                <w:lang w:eastAsia="zh-Hans"/>
              </w:rPr>
              <w:t>。</w:t>
            </w:r>
          </w:p>
        </w:tc>
        <w:tc>
          <w:tcPr>
            <w:tcW w:w="602" w:type="dxa"/>
            <w:vAlign w:val="center"/>
          </w:tcPr>
          <w:p w14:paraId="74CB125B">
            <w:pPr>
              <w:pStyle w:val="44"/>
              <w:rPr>
                <w:rFonts w:ascii="Times New Roman" w:hAnsi="Times New Roman" w:eastAsia="宋体"/>
                <w:sz w:val="21"/>
                <w:szCs w:val="21"/>
                <w:lang w:eastAsia="zh-TW"/>
              </w:rPr>
            </w:pPr>
            <w:r>
              <w:rPr>
                <w:rFonts w:ascii="Times New Roman" w:hAnsi="Times New Roman" w:eastAsia="宋体"/>
                <w:sz w:val="21"/>
                <w:szCs w:val="21"/>
              </w:rPr>
              <w:t>已建立</w:t>
            </w:r>
          </w:p>
        </w:tc>
      </w:tr>
      <w:tr w14:paraId="35F8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76830B91">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28</w:t>
            </w:r>
          </w:p>
        </w:tc>
        <w:tc>
          <w:tcPr>
            <w:tcW w:w="1732" w:type="dxa"/>
            <w:vAlign w:val="center"/>
          </w:tcPr>
          <w:p w14:paraId="1C5FBF80">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浙江安吉农村商业银行股份有限公司“节水贷”贷款管理办法（试行）</w:t>
            </w:r>
            <w:r>
              <w:rPr>
                <w:rFonts w:ascii="Times New Roman" w:hAnsi="Times New Roman" w:eastAsia="宋体"/>
                <w:sz w:val="21"/>
                <w:szCs w:val="21"/>
              </w:rPr>
              <w:t>》</w:t>
            </w:r>
          </w:p>
        </w:tc>
        <w:tc>
          <w:tcPr>
            <w:tcW w:w="1164" w:type="dxa"/>
            <w:vAlign w:val="center"/>
          </w:tcPr>
          <w:p w14:paraId="204254DD">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2</w:t>
            </w:r>
            <w:r>
              <w:rPr>
                <w:rFonts w:ascii="Times New Roman" w:hAnsi="Times New Roman" w:eastAsia="宋体"/>
                <w:sz w:val="21"/>
                <w:szCs w:val="21"/>
              </w:rPr>
              <w:t>〕</w:t>
            </w:r>
          </w:p>
          <w:p w14:paraId="2BBE6114">
            <w:pPr>
              <w:pStyle w:val="44"/>
              <w:rPr>
                <w:rFonts w:ascii="Times New Roman" w:hAnsi="Times New Roman" w:eastAsia="宋体"/>
                <w:sz w:val="21"/>
                <w:szCs w:val="21"/>
              </w:rPr>
            </w:pPr>
            <w:r>
              <w:rPr>
                <w:rFonts w:ascii="Times New Roman" w:hAnsi="Times New Roman" w:eastAsia="宋体"/>
                <w:sz w:val="21"/>
                <w:szCs w:val="21"/>
                <w:lang w:val="en-US"/>
              </w:rPr>
              <w:t>44</w:t>
            </w:r>
            <w:r>
              <w:rPr>
                <w:rFonts w:ascii="Times New Roman" w:hAnsi="Times New Roman" w:eastAsia="宋体"/>
                <w:sz w:val="21"/>
                <w:szCs w:val="21"/>
              </w:rPr>
              <w:t>0号</w:t>
            </w:r>
          </w:p>
        </w:tc>
        <w:tc>
          <w:tcPr>
            <w:tcW w:w="725" w:type="dxa"/>
            <w:vAlign w:val="center"/>
          </w:tcPr>
          <w:p w14:paraId="419EF7FC">
            <w:pPr>
              <w:pStyle w:val="44"/>
              <w:rPr>
                <w:rFonts w:ascii="Times New Roman" w:hAnsi="Times New Roman" w:eastAsia="宋体"/>
                <w:sz w:val="21"/>
                <w:szCs w:val="21"/>
                <w:lang w:val="en-US" w:eastAsia="zh-Hans"/>
              </w:rPr>
            </w:pPr>
            <w:r>
              <w:rPr>
                <w:rFonts w:ascii="Times New Roman" w:hAnsi="Times New Roman" w:eastAsia="宋体"/>
                <w:sz w:val="21"/>
                <w:szCs w:val="21"/>
                <w:lang w:val="en-US"/>
              </w:rPr>
              <w:t>管理办法</w:t>
            </w:r>
          </w:p>
        </w:tc>
        <w:tc>
          <w:tcPr>
            <w:tcW w:w="3861" w:type="dxa"/>
            <w:vAlign w:val="center"/>
          </w:tcPr>
          <w:p w14:paraId="0A9C4F79">
            <w:pPr>
              <w:pStyle w:val="44"/>
              <w:ind w:firstLine="422"/>
              <w:jc w:val="both"/>
              <w:rPr>
                <w:rFonts w:ascii="Times New Roman" w:hAnsi="Times New Roman" w:eastAsia="宋体"/>
                <w:sz w:val="21"/>
                <w:szCs w:val="21"/>
                <w:lang w:val="en-US" w:eastAsia="zh-Hans"/>
              </w:rPr>
            </w:pPr>
            <w:r>
              <w:rPr>
                <w:rFonts w:ascii="Times New Roman" w:hAnsi="Times New Roman" w:eastAsia="宋体"/>
                <w:sz w:val="21"/>
                <w:szCs w:val="21"/>
                <w:lang w:val="en-US"/>
              </w:rPr>
              <w:t>为充分发挥绿色金融在提高水资源集约节约利用水平中的促进作用，深入推进国家节水行动，创新推出“节水贷”贷款产品，</w:t>
            </w:r>
            <w:r>
              <w:rPr>
                <w:rFonts w:ascii="Times New Roman" w:hAnsi="Times New Roman" w:eastAsia="宋体"/>
                <w:sz w:val="21"/>
                <w:szCs w:val="21"/>
              </w:rPr>
              <w:t>并制定具体操作细则。</w:t>
            </w:r>
          </w:p>
        </w:tc>
        <w:tc>
          <w:tcPr>
            <w:tcW w:w="602" w:type="dxa"/>
            <w:vAlign w:val="center"/>
          </w:tcPr>
          <w:p w14:paraId="29A18F07">
            <w:pPr>
              <w:pStyle w:val="44"/>
              <w:rPr>
                <w:rFonts w:ascii="Times New Roman" w:hAnsi="Times New Roman" w:eastAsia="宋体"/>
                <w:sz w:val="21"/>
                <w:szCs w:val="21"/>
                <w:lang w:eastAsia="zh-TW"/>
              </w:rPr>
            </w:pPr>
            <w:r>
              <w:rPr>
                <w:rFonts w:ascii="Times New Roman" w:hAnsi="Times New Roman" w:eastAsia="宋体"/>
                <w:sz w:val="21"/>
                <w:szCs w:val="21"/>
              </w:rPr>
              <w:t>已建立</w:t>
            </w:r>
          </w:p>
        </w:tc>
      </w:tr>
      <w:tr w14:paraId="2593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25680568">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29</w:t>
            </w:r>
          </w:p>
        </w:tc>
        <w:tc>
          <w:tcPr>
            <w:tcW w:w="1732" w:type="dxa"/>
            <w:vAlign w:val="center"/>
          </w:tcPr>
          <w:p w14:paraId="22A42F9D">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浙江安吉农村商业银行股份有限公司董事会战略（三农、绿色金融）委员会议事规则</w:t>
            </w:r>
            <w:r>
              <w:rPr>
                <w:rFonts w:ascii="Times New Roman" w:hAnsi="Times New Roman" w:eastAsia="宋体"/>
                <w:sz w:val="21"/>
                <w:szCs w:val="21"/>
              </w:rPr>
              <w:t>》</w:t>
            </w:r>
          </w:p>
        </w:tc>
        <w:tc>
          <w:tcPr>
            <w:tcW w:w="1164" w:type="dxa"/>
            <w:vAlign w:val="center"/>
          </w:tcPr>
          <w:p w14:paraId="0FC362CB">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14:paraId="55B1C788">
            <w:pPr>
              <w:pStyle w:val="44"/>
              <w:rPr>
                <w:rFonts w:ascii="Times New Roman" w:hAnsi="Times New Roman" w:eastAsia="宋体"/>
                <w:sz w:val="21"/>
                <w:szCs w:val="21"/>
                <w:lang w:val="en-US"/>
              </w:rPr>
            </w:pPr>
            <w:r>
              <w:rPr>
                <w:rFonts w:ascii="Times New Roman" w:hAnsi="Times New Roman" w:eastAsia="宋体"/>
                <w:sz w:val="21"/>
                <w:szCs w:val="21"/>
                <w:lang w:val="en-US"/>
              </w:rPr>
              <w:t>31号</w:t>
            </w:r>
          </w:p>
        </w:tc>
        <w:tc>
          <w:tcPr>
            <w:tcW w:w="725" w:type="dxa"/>
            <w:vAlign w:val="center"/>
          </w:tcPr>
          <w:p w14:paraId="204098AE">
            <w:pPr>
              <w:pStyle w:val="44"/>
              <w:rPr>
                <w:rFonts w:ascii="Times New Roman" w:hAnsi="Times New Roman" w:eastAsia="宋体"/>
                <w:sz w:val="21"/>
                <w:szCs w:val="21"/>
                <w:lang w:val="en-US"/>
              </w:rPr>
            </w:pPr>
            <w:r>
              <w:rPr>
                <w:rFonts w:ascii="Times New Roman" w:hAnsi="Times New Roman" w:eastAsia="宋体"/>
                <w:sz w:val="21"/>
                <w:szCs w:val="21"/>
                <w:lang w:val="en-US"/>
              </w:rPr>
              <w:t>议事规则</w:t>
            </w:r>
          </w:p>
        </w:tc>
        <w:tc>
          <w:tcPr>
            <w:tcW w:w="3861" w:type="dxa"/>
            <w:vAlign w:val="center"/>
          </w:tcPr>
          <w:p w14:paraId="692E10BE">
            <w:pPr>
              <w:pStyle w:val="44"/>
              <w:ind w:firstLine="422"/>
              <w:jc w:val="both"/>
              <w:rPr>
                <w:rFonts w:ascii="Times New Roman" w:hAnsi="Times New Roman" w:eastAsia="宋体"/>
                <w:sz w:val="21"/>
                <w:szCs w:val="21"/>
                <w:lang w:val="en-US"/>
              </w:rPr>
            </w:pPr>
            <w:r>
              <w:rPr>
                <w:rFonts w:ascii="Times New Roman" w:hAnsi="Times New Roman" w:eastAsia="宋体"/>
                <w:sz w:val="21"/>
                <w:szCs w:val="21"/>
                <w:lang w:val="en-US"/>
              </w:rPr>
              <w:t>为适应本行战略发展需求，增强核心竞争力，确定本行发展规划，健全投资决策程序，提高重大投资决策的效益和决策的质量，完善本行法人治理结构，设立董事会战略（三农、绿色金融）委员会，并制定本议事规则。</w:t>
            </w:r>
          </w:p>
        </w:tc>
        <w:tc>
          <w:tcPr>
            <w:tcW w:w="602" w:type="dxa"/>
            <w:vAlign w:val="center"/>
          </w:tcPr>
          <w:p w14:paraId="27453872">
            <w:pPr>
              <w:rPr>
                <w:szCs w:val="21"/>
              </w:rPr>
            </w:pPr>
            <w:r>
              <w:rPr>
                <w:szCs w:val="21"/>
              </w:rPr>
              <w:t>已建立</w:t>
            </w:r>
          </w:p>
        </w:tc>
      </w:tr>
      <w:tr w14:paraId="2305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18F435E8">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30</w:t>
            </w:r>
          </w:p>
        </w:tc>
        <w:tc>
          <w:tcPr>
            <w:tcW w:w="1732" w:type="dxa"/>
            <w:vAlign w:val="center"/>
          </w:tcPr>
          <w:p w14:paraId="6BC4CC50">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浙江安吉农村商业银行股份有限公司“GEP贷”贷款管理办法（试行）</w:t>
            </w:r>
            <w:r>
              <w:rPr>
                <w:rFonts w:ascii="Times New Roman" w:hAnsi="Times New Roman" w:eastAsia="宋体"/>
                <w:sz w:val="21"/>
                <w:szCs w:val="21"/>
              </w:rPr>
              <w:t>》</w:t>
            </w:r>
          </w:p>
        </w:tc>
        <w:tc>
          <w:tcPr>
            <w:tcW w:w="1164" w:type="dxa"/>
            <w:vAlign w:val="center"/>
          </w:tcPr>
          <w:p w14:paraId="77DEFA64">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14:paraId="4038CCBC">
            <w:pPr>
              <w:pStyle w:val="44"/>
              <w:rPr>
                <w:rFonts w:ascii="Times New Roman" w:hAnsi="Times New Roman" w:eastAsia="宋体"/>
                <w:sz w:val="21"/>
                <w:szCs w:val="21"/>
                <w:lang w:val="en-US"/>
              </w:rPr>
            </w:pPr>
            <w:r>
              <w:rPr>
                <w:rFonts w:ascii="Times New Roman" w:hAnsi="Times New Roman" w:eastAsia="宋体"/>
                <w:sz w:val="21"/>
                <w:szCs w:val="21"/>
                <w:lang w:val="en-US"/>
              </w:rPr>
              <w:t>44</w:t>
            </w:r>
            <w:r>
              <w:rPr>
                <w:rFonts w:ascii="Times New Roman" w:hAnsi="Times New Roman" w:eastAsia="宋体"/>
                <w:sz w:val="21"/>
                <w:szCs w:val="21"/>
              </w:rPr>
              <w:t>号</w:t>
            </w:r>
          </w:p>
        </w:tc>
        <w:tc>
          <w:tcPr>
            <w:tcW w:w="725" w:type="dxa"/>
            <w:vAlign w:val="center"/>
          </w:tcPr>
          <w:p w14:paraId="5E130C41">
            <w:pPr>
              <w:pStyle w:val="44"/>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14:paraId="1BCA1027">
            <w:pPr>
              <w:pStyle w:val="44"/>
              <w:ind w:firstLine="422"/>
              <w:jc w:val="both"/>
              <w:rPr>
                <w:rFonts w:ascii="Times New Roman" w:hAnsi="Times New Roman" w:eastAsia="宋体"/>
                <w:sz w:val="21"/>
                <w:szCs w:val="21"/>
                <w:lang w:val="en-US"/>
              </w:rPr>
            </w:pPr>
            <w:r>
              <w:rPr>
                <w:rFonts w:ascii="Times New Roman" w:hAnsi="Times New Roman" w:eastAsia="宋体"/>
                <w:sz w:val="21"/>
                <w:szCs w:val="21"/>
                <w:lang w:val="en-US"/>
              </w:rPr>
              <w:t>为深入践行“绿水青山就是金山银山”理念，加大生态补偿机制，助力生态产品价值高质量转化，推出“GEP贷”贷款产品，</w:t>
            </w:r>
            <w:r>
              <w:rPr>
                <w:rFonts w:ascii="Times New Roman" w:hAnsi="Times New Roman" w:eastAsia="宋体"/>
                <w:sz w:val="21"/>
                <w:szCs w:val="21"/>
              </w:rPr>
              <w:t>并制定具体操作细则。</w:t>
            </w:r>
          </w:p>
        </w:tc>
        <w:tc>
          <w:tcPr>
            <w:tcW w:w="602" w:type="dxa"/>
            <w:vAlign w:val="center"/>
          </w:tcPr>
          <w:p w14:paraId="31DA6948">
            <w:pPr>
              <w:rPr>
                <w:szCs w:val="21"/>
              </w:rPr>
            </w:pPr>
            <w:r>
              <w:rPr>
                <w:szCs w:val="21"/>
              </w:rPr>
              <w:t>已建立</w:t>
            </w:r>
          </w:p>
        </w:tc>
      </w:tr>
      <w:tr w14:paraId="1341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2F199A87">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31</w:t>
            </w:r>
          </w:p>
        </w:tc>
        <w:tc>
          <w:tcPr>
            <w:tcW w:w="1732" w:type="dxa"/>
            <w:vAlign w:val="center"/>
          </w:tcPr>
          <w:p w14:paraId="0449F2BB">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浙江安吉农村商业银行股份有限公司2023年度绿色金融专项考核办法</w:t>
            </w:r>
            <w:r>
              <w:rPr>
                <w:rFonts w:ascii="Times New Roman" w:hAnsi="Times New Roman" w:eastAsia="宋体"/>
                <w:sz w:val="21"/>
                <w:szCs w:val="21"/>
              </w:rPr>
              <w:t>》</w:t>
            </w:r>
          </w:p>
        </w:tc>
        <w:tc>
          <w:tcPr>
            <w:tcW w:w="1164" w:type="dxa"/>
            <w:vAlign w:val="center"/>
          </w:tcPr>
          <w:p w14:paraId="23F1A090">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14:paraId="07A989BC">
            <w:pPr>
              <w:pStyle w:val="44"/>
              <w:rPr>
                <w:rFonts w:ascii="Times New Roman" w:hAnsi="Times New Roman" w:eastAsia="宋体"/>
                <w:sz w:val="21"/>
                <w:szCs w:val="21"/>
                <w:lang w:val="en-US"/>
              </w:rPr>
            </w:pPr>
            <w:r>
              <w:rPr>
                <w:rFonts w:ascii="Times New Roman" w:hAnsi="Times New Roman" w:eastAsia="宋体"/>
                <w:sz w:val="21"/>
                <w:szCs w:val="21"/>
                <w:lang w:val="en-US"/>
              </w:rPr>
              <w:t>79</w:t>
            </w:r>
            <w:r>
              <w:rPr>
                <w:rFonts w:ascii="Times New Roman" w:hAnsi="Times New Roman" w:eastAsia="宋体"/>
                <w:sz w:val="21"/>
                <w:szCs w:val="21"/>
              </w:rPr>
              <w:t>号</w:t>
            </w:r>
          </w:p>
        </w:tc>
        <w:tc>
          <w:tcPr>
            <w:tcW w:w="725" w:type="dxa"/>
            <w:vAlign w:val="center"/>
          </w:tcPr>
          <w:p w14:paraId="0E15A779">
            <w:pPr>
              <w:pStyle w:val="44"/>
              <w:rPr>
                <w:rFonts w:ascii="Times New Roman" w:hAnsi="Times New Roman" w:eastAsia="宋体"/>
                <w:sz w:val="21"/>
                <w:szCs w:val="21"/>
                <w:lang w:val="en-US"/>
              </w:rPr>
            </w:pPr>
            <w:r>
              <w:rPr>
                <w:rFonts w:ascii="Times New Roman" w:hAnsi="Times New Roman" w:eastAsia="宋体"/>
                <w:sz w:val="21"/>
                <w:szCs w:val="21"/>
                <w:lang w:val="en-US"/>
              </w:rPr>
              <w:t>考核办法</w:t>
            </w:r>
          </w:p>
        </w:tc>
        <w:tc>
          <w:tcPr>
            <w:tcW w:w="3861" w:type="dxa"/>
            <w:vAlign w:val="center"/>
          </w:tcPr>
          <w:p w14:paraId="6FC68CF1">
            <w:pPr>
              <w:pStyle w:val="44"/>
              <w:ind w:firstLine="422"/>
              <w:jc w:val="both"/>
              <w:rPr>
                <w:rFonts w:ascii="Times New Roman" w:hAnsi="Times New Roman" w:eastAsia="宋体"/>
                <w:sz w:val="21"/>
                <w:szCs w:val="21"/>
                <w:lang w:val="en-US"/>
              </w:rPr>
            </w:pPr>
            <w:r>
              <w:rPr>
                <w:rFonts w:ascii="Times New Roman" w:hAnsi="Times New Roman" w:eastAsia="宋体"/>
                <w:sz w:val="21"/>
                <w:szCs w:val="21"/>
                <w:lang w:val="en-US"/>
              </w:rPr>
              <w:t>为贯彻落实中央国务院和省委省政府碳达峰碳中和决策部署，助力湖州争创国家绿色金融改革创新示范区，建设安吉生态文明典范城市先行区，深入推进“绿色普惠金融深化年”，结合本行2023年度综合发展计划，特制定本考核办法。</w:t>
            </w:r>
          </w:p>
        </w:tc>
        <w:tc>
          <w:tcPr>
            <w:tcW w:w="602" w:type="dxa"/>
            <w:vAlign w:val="center"/>
          </w:tcPr>
          <w:p w14:paraId="2F19FE66">
            <w:pPr>
              <w:rPr>
                <w:szCs w:val="21"/>
              </w:rPr>
            </w:pPr>
            <w:r>
              <w:rPr>
                <w:szCs w:val="21"/>
              </w:rPr>
              <w:t>已建立</w:t>
            </w:r>
          </w:p>
        </w:tc>
      </w:tr>
      <w:tr w14:paraId="66BB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4FACA780">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32</w:t>
            </w:r>
          </w:p>
        </w:tc>
        <w:tc>
          <w:tcPr>
            <w:tcW w:w="1732" w:type="dxa"/>
            <w:vAlign w:val="center"/>
          </w:tcPr>
          <w:p w14:paraId="2DA2BAD5">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浙江安吉农村商业银行股份有限公司排污权专项贷款管理办法（试行）</w:t>
            </w:r>
            <w:r>
              <w:rPr>
                <w:rFonts w:ascii="Times New Roman" w:hAnsi="Times New Roman" w:eastAsia="宋体"/>
                <w:sz w:val="21"/>
                <w:szCs w:val="21"/>
              </w:rPr>
              <w:t>》</w:t>
            </w:r>
          </w:p>
        </w:tc>
        <w:tc>
          <w:tcPr>
            <w:tcW w:w="1164" w:type="dxa"/>
            <w:vAlign w:val="center"/>
          </w:tcPr>
          <w:p w14:paraId="56E65558">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14:paraId="5D64F43F">
            <w:pPr>
              <w:pStyle w:val="44"/>
              <w:rPr>
                <w:rFonts w:ascii="Times New Roman" w:hAnsi="Times New Roman" w:eastAsia="宋体"/>
                <w:sz w:val="21"/>
                <w:szCs w:val="21"/>
                <w:lang w:val="en-US"/>
              </w:rPr>
            </w:pPr>
            <w:r>
              <w:rPr>
                <w:rFonts w:ascii="Times New Roman" w:hAnsi="Times New Roman" w:eastAsia="宋体"/>
                <w:sz w:val="21"/>
                <w:szCs w:val="21"/>
                <w:lang w:val="en-US"/>
              </w:rPr>
              <w:t>280</w:t>
            </w:r>
            <w:r>
              <w:rPr>
                <w:rFonts w:ascii="Times New Roman" w:hAnsi="Times New Roman" w:eastAsia="宋体"/>
                <w:sz w:val="21"/>
                <w:szCs w:val="21"/>
              </w:rPr>
              <w:t>号</w:t>
            </w:r>
          </w:p>
        </w:tc>
        <w:tc>
          <w:tcPr>
            <w:tcW w:w="725" w:type="dxa"/>
            <w:vAlign w:val="center"/>
          </w:tcPr>
          <w:p w14:paraId="04FB0894">
            <w:pPr>
              <w:pStyle w:val="44"/>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14:paraId="2D84DAA0">
            <w:pPr>
              <w:pStyle w:val="44"/>
              <w:ind w:firstLine="422"/>
              <w:jc w:val="both"/>
              <w:rPr>
                <w:rFonts w:ascii="Times New Roman" w:hAnsi="Times New Roman" w:eastAsia="宋体"/>
                <w:sz w:val="21"/>
                <w:szCs w:val="21"/>
                <w:lang w:val="en-US"/>
              </w:rPr>
            </w:pPr>
            <w:r>
              <w:rPr>
                <w:rFonts w:ascii="Times New Roman" w:hAnsi="Times New Roman" w:eastAsia="宋体"/>
                <w:sz w:val="21"/>
                <w:szCs w:val="21"/>
                <w:lang w:val="en-US"/>
              </w:rPr>
              <w:t>为深入贯彻落实党的二十大提出的推动绿色发展新要求，积极探索绿色金融发展新模式，推动生态环境优势转化为生态经济优势，推出“排污权专项贷款”产品，</w:t>
            </w:r>
            <w:r>
              <w:rPr>
                <w:rFonts w:ascii="Times New Roman" w:hAnsi="Times New Roman" w:eastAsia="宋体"/>
                <w:sz w:val="21"/>
                <w:szCs w:val="21"/>
              </w:rPr>
              <w:t>并制定具体操作细则。</w:t>
            </w:r>
          </w:p>
        </w:tc>
        <w:tc>
          <w:tcPr>
            <w:tcW w:w="602" w:type="dxa"/>
            <w:vAlign w:val="center"/>
          </w:tcPr>
          <w:p w14:paraId="5CC40331">
            <w:pPr>
              <w:rPr>
                <w:szCs w:val="21"/>
              </w:rPr>
            </w:pPr>
            <w:r>
              <w:rPr>
                <w:szCs w:val="21"/>
              </w:rPr>
              <w:t>已建立</w:t>
            </w:r>
          </w:p>
        </w:tc>
      </w:tr>
      <w:tr w14:paraId="6A31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3A4048DB">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33</w:t>
            </w:r>
          </w:p>
        </w:tc>
        <w:tc>
          <w:tcPr>
            <w:tcW w:w="1732" w:type="dxa"/>
            <w:vAlign w:val="center"/>
          </w:tcPr>
          <w:p w14:paraId="4F37B9EC">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浙江安吉农村商业银行股份有限公司“生态修复贷”贷款管理办法（试行）</w:t>
            </w:r>
            <w:r>
              <w:rPr>
                <w:rFonts w:ascii="Times New Roman" w:hAnsi="Times New Roman" w:eastAsia="宋体"/>
                <w:sz w:val="21"/>
                <w:szCs w:val="21"/>
              </w:rPr>
              <w:t>》</w:t>
            </w:r>
          </w:p>
        </w:tc>
        <w:tc>
          <w:tcPr>
            <w:tcW w:w="1164" w:type="dxa"/>
            <w:vAlign w:val="center"/>
          </w:tcPr>
          <w:p w14:paraId="27E46DB3">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14:paraId="01513323">
            <w:pPr>
              <w:pStyle w:val="44"/>
              <w:rPr>
                <w:rFonts w:ascii="Times New Roman" w:hAnsi="Times New Roman" w:eastAsia="宋体"/>
                <w:sz w:val="21"/>
                <w:szCs w:val="21"/>
                <w:lang w:val="en-US"/>
              </w:rPr>
            </w:pPr>
            <w:r>
              <w:rPr>
                <w:rFonts w:ascii="Times New Roman" w:hAnsi="Times New Roman" w:eastAsia="宋体"/>
                <w:sz w:val="21"/>
                <w:szCs w:val="21"/>
                <w:lang w:val="en-US"/>
              </w:rPr>
              <w:t>297</w:t>
            </w:r>
            <w:r>
              <w:rPr>
                <w:rFonts w:ascii="Times New Roman" w:hAnsi="Times New Roman" w:eastAsia="宋体"/>
                <w:sz w:val="21"/>
                <w:szCs w:val="21"/>
              </w:rPr>
              <w:t>号</w:t>
            </w:r>
          </w:p>
        </w:tc>
        <w:tc>
          <w:tcPr>
            <w:tcW w:w="725" w:type="dxa"/>
            <w:vAlign w:val="center"/>
          </w:tcPr>
          <w:p w14:paraId="232387A7">
            <w:pPr>
              <w:pStyle w:val="44"/>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14:paraId="2517E584">
            <w:pPr>
              <w:pStyle w:val="44"/>
              <w:ind w:firstLine="422"/>
              <w:jc w:val="both"/>
              <w:rPr>
                <w:rFonts w:ascii="Times New Roman" w:hAnsi="Times New Roman" w:eastAsia="宋体"/>
                <w:sz w:val="21"/>
                <w:szCs w:val="21"/>
                <w:lang w:val="en-US"/>
              </w:rPr>
            </w:pPr>
            <w:r>
              <w:rPr>
                <w:rFonts w:ascii="Times New Roman" w:hAnsi="Times New Roman" w:eastAsia="宋体"/>
                <w:sz w:val="21"/>
                <w:szCs w:val="21"/>
                <w:lang w:val="en-US"/>
              </w:rPr>
              <w:t>为拓宽生态产品价值实现方式，推进生态保护和环境治理融合共生，结合相关法律法规和规章制度，运用ESG评价原则，推出“生态修复贷”，以推动生态保护修复和绿色经济发展，化生态“疤痕”为绿色“聚宝盆”，</w:t>
            </w:r>
            <w:r>
              <w:rPr>
                <w:rFonts w:ascii="Times New Roman" w:hAnsi="Times New Roman" w:eastAsia="宋体"/>
                <w:sz w:val="21"/>
                <w:szCs w:val="21"/>
              </w:rPr>
              <w:t>并制定具体操作细则。</w:t>
            </w:r>
          </w:p>
        </w:tc>
        <w:tc>
          <w:tcPr>
            <w:tcW w:w="602" w:type="dxa"/>
            <w:vAlign w:val="center"/>
          </w:tcPr>
          <w:p w14:paraId="20CCC1C0">
            <w:pPr>
              <w:rPr>
                <w:szCs w:val="21"/>
              </w:rPr>
            </w:pPr>
            <w:r>
              <w:rPr>
                <w:szCs w:val="21"/>
              </w:rPr>
              <w:t>已建立</w:t>
            </w:r>
          </w:p>
        </w:tc>
      </w:tr>
      <w:tr w14:paraId="4DE9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0B27D323">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34</w:t>
            </w:r>
          </w:p>
        </w:tc>
        <w:tc>
          <w:tcPr>
            <w:tcW w:w="1732" w:type="dxa"/>
            <w:vAlign w:val="center"/>
          </w:tcPr>
          <w:p w14:paraId="11DBAB67">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浙江安吉农村商业银行股份有限公司“绿汇贷”贷款管理办法（试行）</w:t>
            </w:r>
            <w:r>
              <w:rPr>
                <w:rFonts w:ascii="Times New Roman" w:hAnsi="Times New Roman" w:eastAsia="宋体"/>
                <w:sz w:val="21"/>
                <w:szCs w:val="21"/>
              </w:rPr>
              <w:t>》</w:t>
            </w:r>
          </w:p>
        </w:tc>
        <w:tc>
          <w:tcPr>
            <w:tcW w:w="1164" w:type="dxa"/>
            <w:vAlign w:val="center"/>
          </w:tcPr>
          <w:p w14:paraId="334B3F0C">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14:paraId="68BE84C7">
            <w:pPr>
              <w:pStyle w:val="44"/>
              <w:rPr>
                <w:rFonts w:ascii="Times New Roman" w:hAnsi="Times New Roman" w:eastAsia="宋体"/>
                <w:sz w:val="21"/>
                <w:szCs w:val="21"/>
                <w:lang w:val="en-US"/>
              </w:rPr>
            </w:pPr>
            <w:r>
              <w:rPr>
                <w:rFonts w:ascii="Times New Roman" w:hAnsi="Times New Roman" w:eastAsia="宋体"/>
                <w:sz w:val="21"/>
                <w:szCs w:val="21"/>
                <w:lang w:val="en-US"/>
              </w:rPr>
              <w:t>317</w:t>
            </w:r>
            <w:r>
              <w:rPr>
                <w:rFonts w:ascii="Times New Roman" w:hAnsi="Times New Roman" w:eastAsia="宋体"/>
                <w:sz w:val="21"/>
                <w:szCs w:val="21"/>
              </w:rPr>
              <w:t>号</w:t>
            </w:r>
          </w:p>
        </w:tc>
        <w:tc>
          <w:tcPr>
            <w:tcW w:w="725" w:type="dxa"/>
            <w:vAlign w:val="center"/>
          </w:tcPr>
          <w:p w14:paraId="6FF8A2D4">
            <w:pPr>
              <w:pStyle w:val="44"/>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14:paraId="308B855E">
            <w:pPr>
              <w:pStyle w:val="44"/>
              <w:ind w:firstLine="422"/>
              <w:jc w:val="both"/>
              <w:rPr>
                <w:rFonts w:ascii="Times New Roman" w:hAnsi="Times New Roman" w:eastAsia="宋体"/>
                <w:sz w:val="21"/>
                <w:szCs w:val="21"/>
                <w:lang w:val="en-US"/>
              </w:rPr>
            </w:pPr>
            <w:r>
              <w:rPr>
                <w:rFonts w:ascii="Times New Roman" w:hAnsi="Times New Roman" w:eastAsia="宋体"/>
                <w:sz w:val="21"/>
                <w:szCs w:val="21"/>
                <w:lang w:val="en-US"/>
              </w:rPr>
              <w:t>为贯彻省、市委相关部署要求，加快构建绿色外汇服务体系，推进外汇服务绿色低碳循环经济发展，推出“绿汇贷”，</w:t>
            </w:r>
            <w:r>
              <w:rPr>
                <w:rFonts w:ascii="Times New Roman" w:hAnsi="Times New Roman" w:eastAsia="宋体"/>
                <w:sz w:val="21"/>
                <w:szCs w:val="21"/>
              </w:rPr>
              <w:t>并制定具体操作细则。</w:t>
            </w:r>
          </w:p>
        </w:tc>
        <w:tc>
          <w:tcPr>
            <w:tcW w:w="602" w:type="dxa"/>
            <w:vAlign w:val="center"/>
          </w:tcPr>
          <w:p w14:paraId="738845C8">
            <w:pPr>
              <w:pStyle w:val="44"/>
              <w:rPr>
                <w:rFonts w:ascii="Times New Roman" w:hAnsi="Times New Roman" w:eastAsia="宋体"/>
                <w:sz w:val="21"/>
                <w:szCs w:val="21"/>
              </w:rPr>
            </w:pPr>
            <w:r>
              <w:rPr>
                <w:rFonts w:ascii="Times New Roman" w:hAnsi="Times New Roman" w:eastAsia="宋体"/>
                <w:sz w:val="21"/>
                <w:szCs w:val="21"/>
              </w:rPr>
              <w:t>已建立</w:t>
            </w:r>
          </w:p>
        </w:tc>
      </w:tr>
      <w:tr w14:paraId="5734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2327D5AC">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35</w:t>
            </w:r>
          </w:p>
        </w:tc>
        <w:tc>
          <w:tcPr>
            <w:tcW w:w="1732" w:type="dxa"/>
            <w:vAlign w:val="center"/>
          </w:tcPr>
          <w:p w14:paraId="4A3CF542">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w:t>
            </w:r>
            <w:r>
              <w:rPr>
                <w:rFonts w:hint="eastAsia" w:ascii="Times New Roman" w:hAnsi="Times New Roman" w:eastAsia="宋体"/>
                <w:sz w:val="21"/>
                <w:szCs w:val="21"/>
                <w:lang w:val="en-US"/>
              </w:rPr>
              <w:t>竹产业振兴贷</w:t>
            </w:r>
            <w:r>
              <w:rPr>
                <w:rFonts w:ascii="Times New Roman" w:hAnsi="Times New Roman" w:eastAsia="宋体"/>
                <w:sz w:val="21"/>
                <w:szCs w:val="21"/>
                <w:lang w:val="en-US"/>
              </w:rPr>
              <w:t>”</w:t>
            </w:r>
            <w:r>
              <w:rPr>
                <w:rFonts w:hint="eastAsia" w:ascii="Times New Roman" w:hAnsi="Times New Roman" w:eastAsia="宋体"/>
                <w:sz w:val="21"/>
                <w:szCs w:val="21"/>
                <w:lang w:val="en-US"/>
              </w:rPr>
              <w:t>特色</w:t>
            </w:r>
            <w:r>
              <w:rPr>
                <w:rFonts w:ascii="Times New Roman" w:hAnsi="Times New Roman" w:eastAsia="宋体"/>
                <w:sz w:val="21"/>
                <w:szCs w:val="21"/>
                <w:lang w:val="en-US"/>
              </w:rPr>
              <w:t>贷款管理办法</w:t>
            </w:r>
            <w:r>
              <w:rPr>
                <w:rFonts w:ascii="Times New Roman" w:hAnsi="Times New Roman" w:eastAsia="宋体"/>
                <w:sz w:val="21"/>
                <w:szCs w:val="21"/>
              </w:rPr>
              <w:t>》</w:t>
            </w:r>
          </w:p>
        </w:tc>
        <w:tc>
          <w:tcPr>
            <w:tcW w:w="1164" w:type="dxa"/>
            <w:vAlign w:val="center"/>
          </w:tcPr>
          <w:p w14:paraId="1F99D3A6">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hint="eastAsia" w:ascii="Times New Roman" w:hAnsi="Times New Roman" w:eastAsia="宋体"/>
                <w:sz w:val="21"/>
                <w:szCs w:val="21"/>
                <w:lang w:val="en-US"/>
              </w:rPr>
              <w:t>4</w:t>
            </w:r>
            <w:r>
              <w:rPr>
                <w:rFonts w:ascii="Times New Roman" w:hAnsi="Times New Roman" w:eastAsia="宋体"/>
                <w:sz w:val="21"/>
                <w:szCs w:val="21"/>
              </w:rPr>
              <w:t>〕</w:t>
            </w:r>
          </w:p>
          <w:p w14:paraId="6B5945A5">
            <w:pPr>
              <w:pStyle w:val="44"/>
              <w:rPr>
                <w:rFonts w:ascii="Times New Roman" w:hAnsi="Times New Roman" w:eastAsia="宋体"/>
                <w:sz w:val="21"/>
                <w:szCs w:val="21"/>
                <w:lang w:val="en-US"/>
              </w:rPr>
            </w:pPr>
            <w:r>
              <w:rPr>
                <w:rFonts w:hint="eastAsia" w:ascii="Times New Roman" w:hAnsi="Times New Roman" w:eastAsia="宋体"/>
                <w:sz w:val="21"/>
                <w:szCs w:val="21"/>
                <w:lang w:val="en-US"/>
              </w:rPr>
              <w:t>58</w:t>
            </w:r>
            <w:r>
              <w:rPr>
                <w:rFonts w:ascii="Times New Roman" w:hAnsi="Times New Roman" w:eastAsia="宋体"/>
                <w:sz w:val="21"/>
                <w:szCs w:val="21"/>
              </w:rPr>
              <w:t>号</w:t>
            </w:r>
          </w:p>
        </w:tc>
        <w:tc>
          <w:tcPr>
            <w:tcW w:w="725" w:type="dxa"/>
            <w:vAlign w:val="center"/>
          </w:tcPr>
          <w:p w14:paraId="5AD1A993">
            <w:pPr>
              <w:pStyle w:val="44"/>
              <w:rPr>
                <w:rFonts w:ascii="Times New Roman" w:hAnsi="Times New Roman" w:eastAsia="宋体"/>
                <w:sz w:val="21"/>
                <w:szCs w:val="21"/>
                <w:lang w:val="en-US"/>
              </w:rPr>
            </w:pPr>
            <w:r>
              <w:rPr>
                <w:rFonts w:hint="eastAsia" w:ascii="Times New Roman" w:hAnsi="Times New Roman" w:eastAsia="宋体"/>
                <w:sz w:val="21"/>
                <w:szCs w:val="21"/>
                <w:lang w:val="en-US"/>
              </w:rPr>
              <w:t>管理办法</w:t>
            </w:r>
          </w:p>
        </w:tc>
        <w:tc>
          <w:tcPr>
            <w:tcW w:w="3861" w:type="dxa"/>
            <w:vAlign w:val="center"/>
          </w:tcPr>
          <w:p w14:paraId="38635620">
            <w:pPr>
              <w:pStyle w:val="44"/>
              <w:ind w:firstLine="422"/>
              <w:jc w:val="both"/>
              <w:rPr>
                <w:rFonts w:ascii="Times New Roman" w:hAnsi="Times New Roman" w:eastAsia="宋体"/>
                <w:sz w:val="21"/>
                <w:szCs w:val="21"/>
                <w:lang w:val="en-US"/>
              </w:rPr>
            </w:pPr>
            <w:r>
              <w:rPr>
                <w:rFonts w:hint="eastAsia" w:ascii="Times New Roman" w:hAnsi="Times New Roman" w:eastAsia="宋体"/>
                <w:sz w:val="21"/>
                <w:szCs w:val="21"/>
                <w:lang w:val="en-US"/>
              </w:rPr>
              <w:t>为深化推进竹产业振兴、发挥金融支持产业振兴战略的支撑保障作用，推出孝丰支行专属特色产品</w:t>
            </w:r>
            <w:r>
              <w:rPr>
                <w:rFonts w:ascii="Times New Roman" w:hAnsi="Times New Roman" w:eastAsia="宋体"/>
                <w:sz w:val="21"/>
                <w:szCs w:val="21"/>
                <w:lang w:val="en-US"/>
              </w:rPr>
              <w:t>“</w:t>
            </w:r>
            <w:r>
              <w:rPr>
                <w:rFonts w:hint="eastAsia" w:ascii="Times New Roman" w:hAnsi="Times New Roman" w:eastAsia="宋体"/>
                <w:sz w:val="21"/>
                <w:szCs w:val="21"/>
                <w:lang w:val="en-US"/>
              </w:rPr>
              <w:t>竹产业振兴贷</w:t>
            </w:r>
            <w:r>
              <w:rPr>
                <w:rFonts w:ascii="Times New Roman" w:hAnsi="Times New Roman" w:eastAsia="宋体"/>
                <w:sz w:val="21"/>
                <w:szCs w:val="21"/>
                <w:lang w:val="en-US"/>
              </w:rPr>
              <w:t>”</w:t>
            </w:r>
            <w:r>
              <w:rPr>
                <w:rFonts w:hint="eastAsia" w:ascii="Times New Roman" w:hAnsi="Times New Roman" w:eastAsia="宋体"/>
                <w:sz w:val="21"/>
                <w:szCs w:val="21"/>
                <w:lang w:val="en-US"/>
              </w:rPr>
              <w:t>，</w:t>
            </w:r>
            <w:r>
              <w:rPr>
                <w:rFonts w:ascii="Times New Roman" w:hAnsi="Times New Roman" w:eastAsia="宋体"/>
                <w:sz w:val="21"/>
                <w:szCs w:val="21"/>
              </w:rPr>
              <w:t>并制定具体操作细则</w:t>
            </w:r>
            <w:r>
              <w:rPr>
                <w:rFonts w:hint="eastAsia" w:ascii="Times New Roman" w:hAnsi="Times New Roman" w:eastAsia="宋体"/>
                <w:sz w:val="21"/>
                <w:szCs w:val="21"/>
              </w:rPr>
              <w:t>。</w:t>
            </w:r>
          </w:p>
        </w:tc>
        <w:tc>
          <w:tcPr>
            <w:tcW w:w="602" w:type="dxa"/>
            <w:vAlign w:val="center"/>
          </w:tcPr>
          <w:p w14:paraId="55EBEEC7">
            <w:pPr>
              <w:pStyle w:val="44"/>
              <w:rPr>
                <w:rFonts w:ascii="Times New Roman" w:hAnsi="Times New Roman" w:eastAsia="宋体"/>
                <w:sz w:val="21"/>
                <w:szCs w:val="21"/>
              </w:rPr>
            </w:pPr>
            <w:r>
              <w:rPr>
                <w:rFonts w:hint="eastAsia" w:ascii="Times New Roman" w:hAnsi="Times New Roman" w:eastAsia="宋体"/>
                <w:sz w:val="21"/>
                <w:szCs w:val="21"/>
                <w:lang w:val="en-US"/>
              </w:rPr>
              <w:t>当年新增</w:t>
            </w:r>
          </w:p>
        </w:tc>
      </w:tr>
      <w:tr w14:paraId="365D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074A75CD">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36</w:t>
            </w:r>
          </w:p>
        </w:tc>
        <w:tc>
          <w:tcPr>
            <w:tcW w:w="1732" w:type="dxa"/>
            <w:vAlign w:val="center"/>
          </w:tcPr>
          <w:p w14:paraId="4E95F38B">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w:t>
            </w:r>
            <w:r>
              <w:rPr>
                <w:rFonts w:hint="eastAsia" w:ascii="Times New Roman" w:hAnsi="Times New Roman" w:eastAsia="宋体"/>
                <w:sz w:val="21"/>
                <w:szCs w:val="21"/>
                <w:lang w:val="en-US"/>
              </w:rPr>
              <w:t>两山乡居贷</w:t>
            </w:r>
            <w:r>
              <w:rPr>
                <w:rFonts w:ascii="Times New Roman" w:hAnsi="Times New Roman" w:eastAsia="宋体"/>
                <w:sz w:val="21"/>
                <w:szCs w:val="21"/>
                <w:lang w:val="en-US"/>
              </w:rPr>
              <w:t>”贷款管理办法</w:t>
            </w:r>
            <w:r>
              <w:rPr>
                <w:rFonts w:ascii="Times New Roman" w:hAnsi="Times New Roman" w:eastAsia="宋体"/>
                <w:sz w:val="21"/>
                <w:szCs w:val="21"/>
              </w:rPr>
              <w:t>》</w:t>
            </w:r>
          </w:p>
        </w:tc>
        <w:tc>
          <w:tcPr>
            <w:tcW w:w="1164" w:type="dxa"/>
            <w:vAlign w:val="center"/>
          </w:tcPr>
          <w:p w14:paraId="69ACEC91">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hint="eastAsia" w:ascii="Times New Roman" w:hAnsi="Times New Roman" w:eastAsia="宋体"/>
                <w:sz w:val="21"/>
                <w:szCs w:val="21"/>
                <w:lang w:val="en-US"/>
              </w:rPr>
              <w:t>4</w:t>
            </w:r>
            <w:r>
              <w:rPr>
                <w:rFonts w:ascii="Times New Roman" w:hAnsi="Times New Roman" w:eastAsia="宋体"/>
                <w:sz w:val="21"/>
                <w:szCs w:val="21"/>
              </w:rPr>
              <w:t>〕</w:t>
            </w:r>
          </w:p>
          <w:p w14:paraId="29FC650C">
            <w:pPr>
              <w:pStyle w:val="44"/>
              <w:rPr>
                <w:rFonts w:ascii="Times New Roman" w:hAnsi="Times New Roman" w:eastAsia="宋体"/>
                <w:sz w:val="21"/>
                <w:szCs w:val="21"/>
                <w:lang w:val="en-US"/>
              </w:rPr>
            </w:pPr>
            <w:r>
              <w:rPr>
                <w:rFonts w:hint="eastAsia" w:ascii="Times New Roman" w:hAnsi="Times New Roman" w:eastAsia="宋体"/>
                <w:sz w:val="21"/>
                <w:szCs w:val="21"/>
                <w:lang w:val="en-US"/>
              </w:rPr>
              <w:t>193</w:t>
            </w:r>
            <w:r>
              <w:rPr>
                <w:rFonts w:ascii="Times New Roman" w:hAnsi="Times New Roman" w:eastAsia="宋体"/>
                <w:sz w:val="21"/>
                <w:szCs w:val="21"/>
              </w:rPr>
              <w:t>号</w:t>
            </w:r>
          </w:p>
        </w:tc>
        <w:tc>
          <w:tcPr>
            <w:tcW w:w="725" w:type="dxa"/>
            <w:vAlign w:val="center"/>
          </w:tcPr>
          <w:p w14:paraId="52BD4630">
            <w:pPr>
              <w:pStyle w:val="44"/>
              <w:rPr>
                <w:rFonts w:ascii="Times New Roman" w:hAnsi="Times New Roman" w:eastAsia="宋体"/>
                <w:sz w:val="21"/>
                <w:szCs w:val="21"/>
                <w:lang w:val="en-US"/>
              </w:rPr>
            </w:pPr>
            <w:r>
              <w:rPr>
                <w:rFonts w:hint="eastAsia" w:ascii="Times New Roman" w:hAnsi="Times New Roman" w:eastAsia="宋体"/>
                <w:sz w:val="21"/>
                <w:szCs w:val="21"/>
                <w:lang w:val="en-US"/>
              </w:rPr>
              <w:t>管理办法</w:t>
            </w:r>
          </w:p>
        </w:tc>
        <w:tc>
          <w:tcPr>
            <w:tcW w:w="3861" w:type="dxa"/>
            <w:vAlign w:val="center"/>
          </w:tcPr>
          <w:p w14:paraId="423A8E8E">
            <w:pPr>
              <w:pStyle w:val="44"/>
              <w:ind w:firstLine="422"/>
              <w:jc w:val="both"/>
              <w:rPr>
                <w:rFonts w:ascii="Times New Roman" w:hAnsi="Times New Roman" w:eastAsia="宋体"/>
                <w:sz w:val="21"/>
                <w:szCs w:val="21"/>
                <w:lang w:val="en-US"/>
              </w:rPr>
            </w:pPr>
            <w:r>
              <w:rPr>
                <w:rFonts w:hint="eastAsia" w:ascii="Times New Roman" w:hAnsi="Times New Roman" w:eastAsia="宋体"/>
                <w:sz w:val="21"/>
                <w:szCs w:val="21"/>
                <w:lang w:val="en-US"/>
              </w:rPr>
              <w:t>为支持县域美丽乡村建设，促进县域绿色农业、生态旅游业、农村乡居产业等健康发展，打造安吉农商银行乡村振兴绿色产业经济发展特色品牌，推出“两山乡居贷”，</w:t>
            </w:r>
            <w:r>
              <w:rPr>
                <w:rFonts w:ascii="Times New Roman" w:hAnsi="Times New Roman" w:eastAsia="宋体"/>
                <w:sz w:val="21"/>
                <w:szCs w:val="21"/>
              </w:rPr>
              <w:t>并制定具体操作细则</w:t>
            </w:r>
            <w:r>
              <w:rPr>
                <w:rFonts w:hint="eastAsia" w:ascii="Times New Roman" w:hAnsi="Times New Roman" w:eastAsia="宋体"/>
                <w:sz w:val="21"/>
                <w:szCs w:val="21"/>
              </w:rPr>
              <w:t>。</w:t>
            </w:r>
          </w:p>
        </w:tc>
        <w:tc>
          <w:tcPr>
            <w:tcW w:w="602" w:type="dxa"/>
            <w:vAlign w:val="center"/>
          </w:tcPr>
          <w:p w14:paraId="5B7BC5BC">
            <w:pPr>
              <w:pStyle w:val="44"/>
              <w:rPr>
                <w:rFonts w:ascii="Times New Roman" w:hAnsi="Times New Roman" w:eastAsia="宋体"/>
                <w:sz w:val="21"/>
                <w:szCs w:val="21"/>
                <w:lang w:val="en-US"/>
              </w:rPr>
            </w:pPr>
            <w:r>
              <w:rPr>
                <w:rFonts w:hint="eastAsia" w:ascii="Times New Roman" w:hAnsi="Times New Roman" w:eastAsia="宋体"/>
                <w:sz w:val="21"/>
                <w:szCs w:val="21"/>
                <w:lang w:val="en-US"/>
              </w:rPr>
              <w:t>当年新增</w:t>
            </w:r>
          </w:p>
        </w:tc>
      </w:tr>
      <w:tr w14:paraId="47DC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423F0B93">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37</w:t>
            </w:r>
          </w:p>
        </w:tc>
        <w:tc>
          <w:tcPr>
            <w:tcW w:w="1732" w:type="dxa"/>
            <w:shd w:val="clear" w:color="auto" w:fill="auto"/>
            <w:vAlign w:val="center"/>
          </w:tcPr>
          <w:p w14:paraId="07ABCF76">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w:t>
            </w:r>
            <w:r>
              <w:rPr>
                <w:rFonts w:hint="eastAsia" w:ascii="Times New Roman" w:hAnsi="Times New Roman" w:eastAsia="宋体"/>
                <w:sz w:val="21"/>
                <w:szCs w:val="21"/>
                <w:lang w:val="en-US"/>
              </w:rPr>
              <w:t>竹塑贷</w:t>
            </w:r>
            <w:r>
              <w:rPr>
                <w:rFonts w:ascii="Times New Roman" w:hAnsi="Times New Roman" w:eastAsia="宋体"/>
                <w:sz w:val="21"/>
                <w:szCs w:val="21"/>
                <w:lang w:val="en-US"/>
              </w:rPr>
              <w:t>”贷款管理办法（试行）</w:t>
            </w:r>
            <w:r>
              <w:rPr>
                <w:rFonts w:ascii="Times New Roman" w:hAnsi="Times New Roman" w:eastAsia="宋体"/>
                <w:sz w:val="21"/>
                <w:szCs w:val="21"/>
              </w:rPr>
              <w:t>》</w:t>
            </w:r>
          </w:p>
        </w:tc>
        <w:tc>
          <w:tcPr>
            <w:tcW w:w="1164" w:type="dxa"/>
            <w:shd w:val="clear" w:color="auto" w:fill="auto"/>
            <w:vAlign w:val="center"/>
          </w:tcPr>
          <w:p w14:paraId="6542992A">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hint="eastAsia" w:ascii="Times New Roman" w:hAnsi="Times New Roman" w:eastAsia="宋体"/>
                <w:sz w:val="21"/>
                <w:szCs w:val="21"/>
                <w:lang w:val="en-US"/>
              </w:rPr>
              <w:t>4</w:t>
            </w:r>
            <w:r>
              <w:rPr>
                <w:rFonts w:ascii="Times New Roman" w:hAnsi="Times New Roman" w:eastAsia="宋体"/>
                <w:sz w:val="21"/>
                <w:szCs w:val="21"/>
              </w:rPr>
              <w:t>〕</w:t>
            </w:r>
          </w:p>
          <w:p w14:paraId="46FABC0B">
            <w:pPr>
              <w:pStyle w:val="44"/>
              <w:rPr>
                <w:rFonts w:ascii="Times New Roman" w:hAnsi="Times New Roman" w:eastAsia="宋体"/>
                <w:sz w:val="21"/>
                <w:szCs w:val="21"/>
                <w:lang w:val="en-US"/>
              </w:rPr>
            </w:pPr>
            <w:r>
              <w:rPr>
                <w:rFonts w:hint="eastAsia" w:ascii="Times New Roman" w:hAnsi="Times New Roman" w:eastAsia="宋体"/>
                <w:sz w:val="21"/>
                <w:szCs w:val="21"/>
                <w:lang w:val="en-US"/>
              </w:rPr>
              <w:t>226</w:t>
            </w:r>
            <w:r>
              <w:rPr>
                <w:rFonts w:ascii="Times New Roman" w:hAnsi="Times New Roman" w:eastAsia="宋体"/>
                <w:sz w:val="21"/>
                <w:szCs w:val="21"/>
              </w:rPr>
              <w:t>号</w:t>
            </w:r>
          </w:p>
        </w:tc>
        <w:tc>
          <w:tcPr>
            <w:tcW w:w="725" w:type="dxa"/>
            <w:vAlign w:val="center"/>
          </w:tcPr>
          <w:p w14:paraId="1C0CDF65">
            <w:pPr>
              <w:pStyle w:val="44"/>
              <w:rPr>
                <w:rFonts w:ascii="Times New Roman" w:hAnsi="Times New Roman" w:eastAsia="宋体"/>
                <w:sz w:val="21"/>
                <w:szCs w:val="21"/>
                <w:lang w:val="en-US"/>
              </w:rPr>
            </w:pPr>
            <w:r>
              <w:rPr>
                <w:rFonts w:hint="eastAsia" w:ascii="Times New Roman" w:hAnsi="Times New Roman" w:eastAsia="宋体"/>
                <w:sz w:val="21"/>
                <w:szCs w:val="21"/>
                <w:lang w:val="en-US"/>
              </w:rPr>
              <w:t>管理办法</w:t>
            </w:r>
          </w:p>
        </w:tc>
        <w:tc>
          <w:tcPr>
            <w:tcW w:w="3861" w:type="dxa"/>
            <w:vAlign w:val="center"/>
          </w:tcPr>
          <w:p w14:paraId="34E2E0A9">
            <w:pPr>
              <w:pStyle w:val="44"/>
              <w:ind w:firstLine="422"/>
              <w:jc w:val="both"/>
              <w:rPr>
                <w:rFonts w:ascii="Times New Roman" w:hAnsi="Times New Roman" w:eastAsia="宋体"/>
                <w:sz w:val="21"/>
                <w:szCs w:val="21"/>
                <w:lang w:val="en-US"/>
              </w:rPr>
            </w:pPr>
            <w:r>
              <w:rPr>
                <w:rFonts w:hint="eastAsia" w:ascii="Times New Roman" w:hAnsi="Times New Roman" w:eastAsia="宋体"/>
                <w:sz w:val="21"/>
                <w:szCs w:val="21"/>
                <w:lang w:val="en-US"/>
              </w:rPr>
              <w:t>为加快“以竹代塑”发展，增强竹产业发展的内生动力，助力生态产品价值实现，推动环保和可持续发展，推出“竹塑贷”，</w:t>
            </w:r>
            <w:r>
              <w:rPr>
                <w:rFonts w:ascii="Times New Roman" w:hAnsi="Times New Roman" w:eastAsia="宋体"/>
                <w:sz w:val="21"/>
                <w:szCs w:val="21"/>
              </w:rPr>
              <w:t>并制定具体操作细则</w:t>
            </w:r>
            <w:r>
              <w:rPr>
                <w:rFonts w:hint="eastAsia" w:ascii="Times New Roman" w:hAnsi="Times New Roman" w:eastAsia="宋体"/>
                <w:sz w:val="21"/>
                <w:szCs w:val="21"/>
              </w:rPr>
              <w:t>。</w:t>
            </w:r>
          </w:p>
        </w:tc>
        <w:tc>
          <w:tcPr>
            <w:tcW w:w="602" w:type="dxa"/>
            <w:vAlign w:val="center"/>
          </w:tcPr>
          <w:p w14:paraId="7ED18B5B">
            <w:pPr>
              <w:pStyle w:val="44"/>
              <w:rPr>
                <w:rFonts w:ascii="Times New Roman" w:hAnsi="Times New Roman" w:eastAsia="宋体"/>
                <w:sz w:val="21"/>
                <w:szCs w:val="21"/>
              </w:rPr>
            </w:pPr>
            <w:r>
              <w:rPr>
                <w:rFonts w:hint="eastAsia" w:ascii="Times New Roman" w:hAnsi="Times New Roman" w:eastAsia="宋体"/>
                <w:sz w:val="21"/>
                <w:szCs w:val="21"/>
                <w:lang w:val="en-US"/>
              </w:rPr>
              <w:t>当年新增</w:t>
            </w:r>
          </w:p>
        </w:tc>
      </w:tr>
      <w:tr w14:paraId="3219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14:paraId="648565CA">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38</w:t>
            </w:r>
          </w:p>
        </w:tc>
        <w:tc>
          <w:tcPr>
            <w:tcW w:w="1732" w:type="dxa"/>
            <w:vAlign w:val="center"/>
          </w:tcPr>
          <w:p w14:paraId="6C9EE892">
            <w:pPr>
              <w:pStyle w:val="44"/>
              <w:ind w:firstLine="422"/>
              <w:jc w:val="both"/>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w:t>
            </w:r>
            <w:r>
              <w:rPr>
                <w:rFonts w:hint="eastAsia" w:ascii="Times New Roman" w:hAnsi="Times New Roman" w:eastAsia="宋体"/>
                <w:sz w:val="21"/>
                <w:szCs w:val="21"/>
                <w:lang w:val="en-US"/>
              </w:rPr>
              <w:t>水权贷</w:t>
            </w:r>
            <w:r>
              <w:rPr>
                <w:rFonts w:ascii="Times New Roman" w:hAnsi="Times New Roman" w:eastAsia="宋体"/>
                <w:sz w:val="21"/>
                <w:szCs w:val="21"/>
                <w:lang w:val="en-US"/>
              </w:rPr>
              <w:t>”贷款管理办法（试行）</w:t>
            </w:r>
            <w:r>
              <w:rPr>
                <w:rFonts w:ascii="Times New Roman" w:hAnsi="Times New Roman" w:eastAsia="宋体"/>
                <w:sz w:val="21"/>
                <w:szCs w:val="21"/>
              </w:rPr>
              <w:t>》</w:t>
            </w:r>
          </w:p>
        </w:tc>
        <w:tc>
          <w:tcPr>
            <w:tcW w:w="1164" w:type="dxa"/>
            <w:vAlign w:val="center"/>
          </w:tcPr>
          <w:p w14:paraId="274D225A">
            <w:pPr>
              <w:pStyle w:val="44"/>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hint="eastAsia" w:ascii="Times New Roman" w:hAnsi="Times New Roman" w:eastAsia="宋体"/>
                <w:sz w:val="21"/>
                <w:szCs w:val="21"/>
                <w:lang w:val="en-US"/>
              </w:rPr>
              <w:t>4</w:t>
            </w:r>
            <w:r>
              <w:rPr>
                <w:rFonts w:ascii="Times New Roman" w:hAnsi="Times New Roman" w:eastAsia="宋体"/>
                <w:sz w:val="21"/>
                <w:szCs w:val="21"/>
              </w:rPr>
              <w:t>〕</w:t>
            </w:r>
          </w:p>
          <w:p w14:paraId="552B8D2B">
            <w:pPr>
              <w:pStyle w:val="44"/>
              <w:rPr>
                <w:rFonts w:ascii="Times New Roman" w:hAnsi="Times New Roman" w:eastAsia="宋体"/>
                <w:sz w:val="21"/>
                <w:szCs w:val="21"/>
                <w:lang w:val="en-US"/>
              </w:rPr>
            </w:pPr>
            <w:r>
              <w:rPr>
                <w:rFonts w:hint="eastAsia" w:ascii="Times New Roman" w:hAnsi="Times New Roman" w:eastAsia="宋体"/>
                <w:sz w:val="21"/>
                <w:szCs w:val="21"/>
                <w:lang w:val="en-US"/>
              </w:rPr>
              <w:t>384</w:t>
            </w:r>
            <w:r>
              <w:rPr>
                <w:rFonts w:ascii="Times New Roman" w:hAnsi="Times New Roman" w:eastAsia="宋体"/>
                <w:sz w:val="21"/>
                <w:szCs w:val="21"/>
              </w:rPr>
              <w:t>号</w:t>
            </w:r>
          </w:p>
        </w:tc>
        <w:tc>
          <w:tcPr>
            <w:tcW w:w="725" w:type="dxa"/>
            <w:vAlign w:val="center"/>
          </w:tcPr>
          <w:p w14:paraId="02D3867D">
            <w:pPr>
              <w:pStyle w:val="44"/>
              <w:rPr>
                <w:rFonts w:ascii="Times New Roman" w:hAnsi="Times New Roman" w:eastAsia="宋体"/>
                <w:sz w:val="21"/>
                <w:szCs w:val="21"/>
                <w:lang w:val="en-US"/>
              </w:rPr>
            </w:pPr>
            <w:r>
              <w:rPr>
                <w:rFonts w:hint="eastAsia" w:ascii="Times New Roman" w:hAnsi="Times New Roman" w:eastAsia="宋体"/>
                <w:sz w:val="21"/>
                <w:szCs w:val="21"/>
                <w:lang w:val="en-US"/>
              </w:rPr>
              <w:t>管理办法</w:t>
            </w:r>
          </w:p>
        </w:tc>
        <w:tc>
          <w:tcPr>
            <w:tcW w:w="3861" w:type="dxa"/>
            <w:vAlign w:val="center"/>
          </w:tcPr>
          <w:p w14:paraId="07DB110D">
            <w:pPr>
              <w:pStyle w:val="44"/>
              <w:ind w:firstLine="422"/>
              <w:jc w:val="both"/>
              <w:rPr>
                <w:rFonts w:ascii="Times New Roman" w:hAnsi="Times New Roman" w:eastAsia="宋体"/>
                <w:sz w:val="21"/>
                <w:szCs w:val="21"/>
                <w:lang w:val="en-US"/>
              </w:rPr>
            </w:pPr>
            <w:r>
              <w:rPr>
                <w:rFonts w:hint="eastAsia" w:ascii="Times New Roman" w:hAnsi="Times New Roman" w:eastAsia="宋体"/>
                <w:sz w:val="21"/>
                <w:szCs w:val="21"/>
                <w:lang w:val="en-US"/>
              </w:rPr>
              <w:t>为充分发挥绿色金融在助力生态价值实现中的重要作用，提升水环境功能和生态产品供给能力，加快发展新质生产力，促进产业生态化和生态产业化，推进水生态价值转化，推出“水权贷”，</w:t>
            </w:r>
            <w:r>
              <w:rPr>
                <w:rFonts w:ascii="Times New Roman" w:hAnsi="Times New Roman" w:eastAsia="宋体"/>
                <w:sz w:val="21"/>
                <w:szCs w:val="21"/>
              </w:rPr>
              <w:t>并制定具体操作细则</w:t>
            </w:r>
            <w:r>
              <w:rPr>
                <w:rFonts w:hint="eastAsia" w:ascii="Times New Roman" w:hAnsi="Times New Roman" w:eastAsia="宋体"/>
                <w:sz w:val="21"/>
                <w:szCs w:val="21"/>
              </w:rPr>
              <w:t>。</w:t>
            </w:r>
          </w:p>
        </w:tc>
        <w:tc>
          <w:tcPr>
            <w:tcW w:w="602" w:type="dxa"/>
            <w:vAlign w:val="center"/>
          </w:tcPr>
          <w:p w14:paraId="7A29D692">
            <w:pPr>
              <w:pStyle w:val="44"/>
              <w:rPr>
                <w:rFonts w:ascii="Times New Roman" w:hAnsi="Times New Roman" w:eastAsia="宋体"/>
                <w:sz w:val="21"/>
                <w:szCs w:val="21"/>
                <w:lang w:val="en-US"/>
              </w:rPr>
            </w:pPr>
            <w:r>
              <w:rPr>
                <w:rFonts w:hint="eastAsia" w:ascii="Times New Roman" w:hAnsi="Times New Roman" w:eastAsia="宋体"/>
                <w:sz w:val="21"/>
                <w:szCs w:val="21"/>
                <w:lang w:val="en-US"/>
              </w:rPr>
              <w:t>当年新增</w:t>
            </w:r>
          </w:p>
        </w:tc>
      </w:tr>
    </w:tbl>
    <w:p w14:paraId="1977C06F">
      <w:pPr>
        <w:pStyle w:val="2"/>
        <w:ind w:firstLine="640"/>
        <w:rPr>
          <w:rFonts w:ascii="Times New Roman" w:hAnsi="Times New Roman"/>
          <w:color w:val="000000"/>
          <w:u w:color="000000"/>
          <w:lang w:val="en-US"/>
        </w:rPr>
      </w:pPr>
      <w:bookmarkStart w:id="91" w:name="_Toc69"/>
      <w:r>
        <w:rPr>
          <w:rFonts w:ascii="Times New Roman" w:hAnsi="Times New Roman"/>
          <w:color w:val="000000"/>
          <w:u w:color="000000"/>
          <w:lang w:val="en-US"/>
        </w:rPr>
        <w:t>5金融机构环境风险、机遇的分析与管理</w:t>
      </w:r>
      <w:bookmarkEnd w:id="91"/>
    </w:p>
    <w:p w14:paraId="221E27B6">
      <w:pPr>
        <w:pStyle w:val="40"/>
        <w:ind w:firstLine="643"/>
        <w:rPr>
          <w:rFonts w:ascii="Times New Roman" w:hAnsi="Times New Roman"/>
          <w:lang w:eastAsia="zh-CN"/>
        </w:rPr>
      </w:pPr>
      <w:bookmarkStart w:id="92" w:name="_Toc30442"/>
      <w:r>
        <w:rPr>
          <w:rFonts w:ascii="Times New Roman" w:hAnsi="Times New Roman"/>
          <w:lang w:eastAsia="zh-CN"/>
        </w:rPr>
        <w:t>5.1</w:t>
      </w:r>
      <w:r>
        <w:rPr>
          <w:rFonts w:ascii="Times New Roman" w:hAnsi="Times New Roman"/>
        </w:rPr>
        <w:t>金融机构</w:t>
      </w:r>
      <w:bookmarkEnd w:id="89"/>
      <w:r>
        <w:rPr>
          <w:rFonts w:ascii="Times New Roman" w:hAnsi="Times New Roman"/>
          <w:lang w:eastAsia="zh-CN"/>
        </w:rPr>
        <w:t>环境风险影响</w:t>
      </w:r>
      <w:bookmarkEnd w:id="92"/>
    </w:p>
    <w:p w14:paraId="79E62C3B">
      <w:pPr>
        <w:pStyle w:val="27"/>
        <w:tabs>
          <w:tab w:val="left" w:pos="949"/>
        </w:tabs>
        <w:spacing w:line="560" w:lineRule="exact"/>
        <w:ind w:firstLine="640" w:firstLineChars="200"/>
        <w:rPr>
          <w:rFonts w:eastAsia="仿宋_GB2312" w:cs="Times New Roman"/>
          <w:color w:val="auto"/>
          <w:sz w:val="32"/>
          <w:szCs w:val="32"/>
          <w:lang w:val="zh-TW"/>
        </w:rPr>
      </w:pPr>
      <w:r>
        <w:rPr>
          <w:rFonts w:hint="eastAsia" w:eastAsia="仿宋_GB2312" w:cs="Times New Roman"/>
          <w:color w:val="auto"/>
          <w:sz w:val="32"/>
          <w:szCs w:val="32"/>
        </w:rPr>
        <w:t>当前，金融机构受</w:t>
      </w:r>
      <w:r>
        <w:rPr>
          <w:rFonts w:hint="eastAsia" w:ascii="仿宋_GB2312" w:hAnsi="仿宋_GB2312" w:eastAsia="仿宋_GB2312" w:cs="仿宋_GB2312"/>
          <w:color w:val="auto"/>
          <w:sz w:val="32"/>
          <w:szCs w:val="32"/>
        </w:rPr>
        <w:t>环境风险影响日益凸显，气候变化和资源短缺等环境风险会对金融机构的稳定性和可持续发展带来影响。</w:t>
      </w:r>
      <w:r>
        <w:rPr>
          <w:rFonts w:ascii="仿宋_GB2312" w:hAnsi="仿宋_GB2312" w:eastAsia="仿宋_GB2312" w:cs="仿宋_GB2312"/>
          <w:color w:val="auto"/>
          <w:sz w:val="32"/>
          <w:szCs w:val="32"/>
          <w:lang w:val="zh-TW"/>
        </w:rPr>
        <w:t>随着国家环境治理体系的不断完善，企业的环境风险演化为经营风险的可能性不断增加，</w:t>
      </w:r>
      <w:r>
        <w:rPr>
          <w:rFonts w:hint="eastAsia" w:ascii="仿宋_GB2312" w:hAnsi="仿宋_GB2312" w:eastAsia="仿宋_GB2312" w:cs="仿宋_GB2312"/>
          <w:color w:val="auto"/>
          <w:sz w:val="32"/>
          <w:szCs w:val="32"/>
        </w:rPr>
        <w:t>特别是随着“双碳”目标的提出，</w:t>
      </w:r>
      <w:r>
        <w:rPr>
          <w:rFonts w:ascii="仿宋_GB2312" w:hAnsi="仿宋_GB2312" w:eastAsia="仿宋_GB2312" w:cs="仿宋_GB2312"/>
          <w:color w:val="auto"/>
          <w:sz w:val="32"/>
          <w:szCs w:val="32"/>
          <w:lang w:val="zh-TW"/>
        </w:rPr>
        <w:t>对高污染和高能耗行业过度集中的资产配置</w:t>
      </w:r>
      <w:r>
        <w:rPr>
          <w:rFonts w:eastAsia="仿宋_GB2312" w:cs="Times New Roman"/>
          <w:color w:val="auto"/>
          <w:sz w:val="32"/>
          <w:szCs w:val="32"/>
          <w:lang w:val="zh-TW"/>
        </w:rPr>
        <w:t>将产生较大的潜在风险。对于金融机构而言，无论是环境责任导致的直接风险，还是因环境问题造成成本上升带来的违约风险，</w:t>
      </w:r>
      <w:r>
        <w:rPr>
          <w:rFonts w:eastAsia="仿宋_GB2312" w:cs="Times New Roman"/>
          <w:color w:val="auto"/>
          <w:sz w:val="32"/>
          <w:szCs w:val="32"/>
        </w:rPr>
        <w:t>亦</w:t>
      </w:r>
      <w:r>
        <w:rPr>
          <w:rFonts w:eastAsia="仿宋_GB2312" w:cs="Times New Roman"/>
          <w:color w:val="auto"/>
          <w:sz w:val="32"/>
          <w:szCs w:val="32"/>
          <w:lang w:val="zh-TW"/>
        </w:rPr>
        <w:t>或是企业作为债权人因环境问题引发的声誉风险，都将直接或间接地影响金融机构作为金融媒介的正常运营和资金配置作用的发挥。但从长远来看，一方面金融机构通过对环境风险分析，可以识别和量化环境因素引发的金融风险及创造的潜在投资机会，从而规避经济损失和金融风险，获得潜在收益；另一方面金融监管机构通过环境风险分析，可以识别和防范环境相关因素可能引起的系统性金融风险，防止超预期损失的发生。</w:t>
      </w:r>
    </w:p>
    <w:p w14:paraId="0E3BDFB4">
      <w:pPr>
        <w:pStyle w:val="40"/>
        <w:ind w:firstLine="643"/>
        <w:rPr>
          <w:rFonts w:ascii="Times New Roman" w:hAnsi="Times New Roman"/>
        </w:rPr>
      </w:pPr>
      <w:bookmarkStart w:id="93" w:name="_Toc70665261"/>
      <w:bookmarkStart w:id="94" w:name="_Toc14995"/>
      <w:bookmarkStart w:id="95" w:name="_Toc23339691"/>
      <w:bookmarkStart w:id="96" w:name="_Toc23339953"/>
      <w:r>
        <w:rPr>
          <w:rFonts w:ascii="Times New Roman" w:hAnsi="Times New Roman"/>
        </w:rPr>
        <w:t>5.</w:t>
      </w:r>
      <w:r>
        <w:rPr>
          <w:rFonts w:ascii="Times New Roman" w:hAnsi="Times New Roman"/>
          <w:lang w:eastAsia="zh-CN"/>
        </w:rPr>
        <w:t>2</w:t>
      </w:r>
      <w:r>
        <w:rPr>
          <w:rFonts w:ascii="Times New Roman" w:hAnsi="Times New Roman"/>
        </w:rPr>
        <w:t xml:space="preserve"> 环境风险管理及流程</w:t>
      </w:r>
      <w:bookmarkEnd w:id="93"/>
      <w:bookmarkEnd w:id="94"/>
    </w:p>
    <w:p w14:paraId="2A01B111">
      <w:pPr>
        <w:spacing w:line="560" w:lineRule="exact"/>
        <w:ind w:firstLine="640" w:firstLineChars="200"/>
        <w:rPr>
          <w:rFonts w:eastAsia="仿宋_GB2312"/>
          <w:sz w:val="32"/>
          <w:szCs w:val="32"/>
          <w:u w:color="000000"/>
        </w:rPr>
      </w:pPr>
      <w:r>
        <w:rPr>
          <w:rFonts w:eastAsia="仿宋_GB2312"/>
          <w:sz w:val="32"/>
          <w:szCs w:val="32"/>
          <w:u w:color="000000"/>
          <w:lang w:val="zh-TW"/>
        </w:rPr>
        <w:t>本行围绕产业表现、环境表现、社会表现三个层面，涵盖八个维度建成绿色信贷环境和社会风控体系，做好信贷资产风控保障，推进绿色信贷精准投放，健全绿色信贷风险防范机制，主要流程如下：</w:t>
      </w:r>
    </w:p>
    <w:p w14:paraId="1DF2A741">
      <w:pPr>
        <w:pStyle w:val="40"/>
        <w:ind w:firstLine="643"/>
        <w:outlineLvl w:val="2"/>
        <w:rPr>
          <w:rFonts w:ascii="仿宋_GB2312" w:hAnsi="Times New Roman" w:eastAsia="仿宋_GB2312"/>
          <w:lang w:eastAsia="zh-CN"/>
        </w:rPr>
      </w:pPr>
      <w:bookmarkStart w:id="97" w:name="_Toc42012338"/>
      <w:bookmarkStart w:id="98" w:name="_Toc1342"/>
      <w:r>
        <w:rPr>
          <w:rFonts w:ascii="Times New Roman" w:hAnsi="Times New Roman"/>
          <w:lang w:eastAsia="zh-CN"/>
        </w:rPr>
        <w:t>5.2.1</w:t>
      </w:r>
      <w:bookmarkEnd w:id="97"/>
      <w:r>
        <w:rPr>
          <w:rFonts w:hint="eastAsia" w:ascii="仿宋_GB2312" w:hAnsi="Times New Roman" w:eastAsia="仿宋_GB2312"/>
          <w:lang w:eastAsia="zh-CN"/>
        </w:rPr>
        <w:t>调查准入环节</w:t>
      </w:r>
      <w:bookmarkEnd w:id="98"/>
      <w:r>
        <w:rPr>
          <w:rFonts w:hint="eastAsia" w:ascii="仿宋_GB2312" w:hAnsi="Times New Roman" w:eastAsia="仿宋_GB2312"/>
          <w:lang w:eastAsia="zh-CN"/>
        </w:rPr>
        <w:t xml:space="preserve"> </w:t>
      </w:r>
    </w:p>
    <w:p w14:paraId="0107266F">
      <w:pPr>
        <w:spacing w:line="560" w:lineRule="exact"/>
        <w:ind w:firstLine="640" w:firstLineChars="200"/>
        <w:rPr>
          <w:rFonts w:eastAsia="仿宋_GB2312"/>
          <w:sz w:val="32"/>
          <w:szCs w:val="32"/>
          <w:u w:color="000000"/>
          <w:lang w:val="zh-TW"/>
        </w:rPr>
      </w:pPr>
      <w:r>
        <w:rPr>
          <w:rFonts w:eastAsia="仿宋_GB2312"/>
          <w:sz w:val="32"/>
          <w:szCs w:val="32"/>
          <w:u w:color="000000"/>
          <w:lang w:val="zh-TW"/>
        </w:rPr>
        <w:t>将环境与社会风险作为尽职调查重要内容，通过绿色信息共享平台机制建设获取政府部门披露的相关绿色信息，结合县域环保、安监等部门对重点产业及企业的相应评级和打分，将风险可能性较大的存量橙色关注类和红色退出类企业进行名单制管理，实现在准入环节识别信贷资产风险，做好信贷资产风控保障。</w:t>
      </w:r>
    </w:p>
    <w:p w14:paraId="0A5A1E2F">
      <w:pPr>
        <w:pStyle w:val="40"/>
        <w:ind w:firstLine="643"/>
        <w:outlineLvl w:val="2"/>
        <w:rPr>
          <w:rFonts w:ascii="仿宋_GB2312" w:hAnsi="Times New Roman" w:eastAsia="仿宋_GB2312"/>
          <w:lang w:eastAsia="zh-CN"/>
        </w:rPr>
      </w:pPr>
      <w:bookmarkStart w:id="99" w:name="_Toc42012339"/>
      <w:bookmarkStart w:id="100" w:name="_Toc32506"/>
      <w:r>
        <w:rPr>
          <w:rFonts w:ascii="Times New Roman" w:hAnsi="Times New Roman"/>
          <w:lang w:eastAsia="zh-CN"/>
        </w:rPr>
        <w:t>5.2.2</w:t>
      </w:r>
      <w:bookmarkEnd w:id="99"/>
      <w:r>
        <w:rPr>
          <w:rFonts w:hint="eastAsia" w:ascii="仿宋_GB2312" w:hAnsi="Times New Roman" w:eastAsia="仿宋_GB2312"/>
          <w:lang w:eastAsia="zh-CN"/>
        </w:rPr>
        <w:t>审查审批环节</w:t>
      </w:r>
      <w:bookmarkEnd w:id="100"/>
    </w:p>
    <w:p w14:paraId="3E44AAD8">
      <w:pPr>
        <w:spacing w:line="560" w:lineRule="exact"/>
        <w:ind w:firstLine="640" w:firstLineChars="200"/>
        <w:rPr>
          <w:rFonts w:eastAsia="仿宋_GB2312"/>
          <w:sz w:val="32"/>
          <w:szCs w:val="32"/>
          <w:u w:color="000000"/>
          <w:lang w:val="zh-TW"/>
        </w:rPr>
      </w:pPr>
      <w:r>
        <w:rPr>
          <w:rFonts w:eastAsia="仿宋_GB2312"/>
          <w:sz w:val="32"/>
          <w:szCs w:val="32"/>
          <w:u w:color="000000"/>
          <w:lang w:val="zh-TW"/>
        </w:rPr>
        <w:t>通</w:t>
      </w:r>
      <w:r>
        <w:rPr>
          <w:rFonts w:ascii="仿宋_GB2312" w:hAnsi="仿宋_GB2312" w:eastAsia="仿宋_GB2312" w:cs="仿宋_GB2312"/>
          <w:sz w:val="32"/>
          <w:szCs w:val="32"/>
          <w:u w:color="000000"/>
          <w:lang w:val="zh-TW"/>
        </w:rPr>
        <w:t>过“环境与社会风险评估系统”为客户开展绿色评级进行四色分类，绿色友好</w:t>
      </w:r>
      <w:r>
        <w:rPr>
          <w:rFonts w:hint="eastAsia" w:ascii="仿宋_GB2312" w:hAnsi="仿宋_GB2312" w:eastAsia="仿宋_GB2312" w:cs="仿宋_GB2312"/>
          <w:sz w:val="32"/>
          <w:szCs w:val="32"/>
          <w:u w:color="000000"/>
          <w:lang w:val="zh-TW"/>
        </w:rPr>
        <w:t>、</w:t>
      </w:r>
      <w:r>
        <w:rPr>
          <w:rFonts w:ascii="仿宋_GB2312" w:hAnsi="仿宋_GB2312" w:eastAsia="仿宋_GB2312" w:cs="仿宋_GB2312"/>
          <w:sz w:val="32"/>
          <w:szCs w:val="32"/>
          <w:u w:color="000000"/>
          <w:lang w:val="zh-TW"/>
        </w:rPr>
        <w:t>蓝色基础、</w:t>
      </w:r>
      <w:r>
        <w:rPr>
          <w:rFonts w:hint="eastAsia" w:ascii="仿宋_GB2312" w:hAnsi="仿宋_GB2312" w:eastAsia="仿宋_GB2312" w:cs="仿宋_GB2312"/>
          <w:sz w:val="32"/>
          <w:szCs w:val="32"/>
          <w:u w:color="000000"/>
          <w:lang w:val="zh-TW"/>
        </w:rPr>
        <w:t>橙色</w:t>
      </w:r>
      <w:r>
        <w:rPr>
          <w:rFonts w:ascii="仿宋_GB2312" w:hAnsi="仿宋_GB2312" w:eastAsia="仿宋_GB2312" w:cs="仿宋_GB2312"/>
          <w:sz w:val="32"/>
          <w:szCs w:val="32"/>
          <w:u w:color="000000"/>
          <w:lang w:val="zh-TW"/>
        </w:rPr>
        <w:t>关注</w:t>
      </w:r>
      <w:r>
        <w:rPr>
          <w:rFonts w:hint="eastAsia" w:ascii="仿宋_GB2312" w:hAnsi="仿宋_GB2312" w:eastAsia="仿宋_GB2312" w:cs="仿宋_GB2312"/>
          <w:sz w:val="32"/>
          <w:szCs w:val="32"/>
          <w:u w:color="000000"/>
          <w:lang w:val="zh-TW"/>
        </w:rPr>
        <w:t>、</w:t>
      </w:r>
      <w:r>
        <w:rPr>
          <w:rFonts w:eastAsia="仿宋_GB2312"/>
          <w:sz w:val="32"/>
          <w:szCs w:val="32"/>
          <w:u w:color="000000"/>
          <w:lang w:val="zh-TW"/>
        </w:rPr>
        <w:t>红色退出，分层管理、区别</w:t>
      </w:r>
      <w:r>
        <w:rPr>
          <w:rFonts w:ascii="仿宋_GB2312" w:hAnsi="仿宋_GB2312" w:eastAsia="仿宋_GB2312" w:cs="仿宋_GB2312"/>
          <w:sz w:val="32"/>
          <w:szCs w:val="32"/>
          <w:u w:color="000000"/>
          <w:lang w:val="zh-TW"/>
        </w:rPr>
        <w:t>服务。并创建“绿色信贷专项审批通道”，将环境专员前置审核环节，对绿色信贷进行逐笔审核指导，确保绿色投向；同时在系统增设“绿色信贷”“绿债投向”等特色产品标签，从授信准入到用信管理全程贯穿对绿色</w:t>
      </w:r>
      <w:r>
        <w:rPr>
          <w:rFonts w:eastAsia="仿宋_GB2312"/>
          <w:sz w:val="32"/>
          <w:szCs w:val="32"/>
          <w:u w:color="000000"/>
          <w:lang w:val="zh-TW"/>
        </w:rPr>
        <w:t>客户评级及绿色信贷的审核，有效甄别信贷投放环境风险。</w:t>
      </w:r>
    </w:p>
    <w:p w14:paraId="6B5B0788">
      <w:pPr>
        <w:pStyle w:val="40"/>
        <w:ind w:firstLine="643"/>
        <w:outlineLvl w:val="2"/>
        <w:rPr>
          <w:rFonts w:ascii="仿宋_GB2312" w:hAnsi="Times New Roman" w:eastAsia="仿宋_GB2312"/>
          <w:lang w:eastAsia="zh-CN"/>
        </w:rPr>
      </w:pPr>
      <w:bookmarkStart w:id="101" w:name="_Toc42012340"/>
      <w:bookmarkStart w:id="102" w:name="_Toc29828"/>
      <w:r>
        <w:rPr>
          <w:rFonts w:ascii="Times New Roman" w:hAnsi="Times New Roman"/>
          <w:lang w:eastAsia="zh-CN"/>
        </w:rPr>
        <w:t>5.2.3</w:t>
      </w:r>
      <w:bookmarkEnd w:id="101"/>
      <w:r>
        <w:rPr>
          <w:rFonts w:hint="eastAsia" w:ascii="仿宋_GB2312" w:hAnsi="Times New Roman" w:eastAsia="仿宋_GB2312"/>
          <w:lang w:eastAsia="zh-CN"/>
        </w:rPr>
        <w:t>合同签署环节</w:t>
      </w:r>
      <w:bookmarkEnd w:id="102"/>
    </w:p>
    <w:p w14:paraId="1E3CD383">
      <w:pPr>
        <w:spacing w:line="560" w:lineRule="exact"/>
        <w:ind w:firstLine="640" w:firstLineChars="200"/>
        <w:rPr>
          <w:rFonts w:eastAsia="仿宋_GB2312"/>
          <w:sz w:val="32"/>
          <w:szCs w:val="32"/>
          <w:u w:color="000000"/>
          <w:lang w:val="zh-TW"/>
        </w:rPr>
      </w:pPr>
      <w:r>
        <w:rPr>
          <w:rFonts w:eastAsia="仿宋_GB2312"/>
          <w:sz w:val="32"/>
          <w:szCs w:val="32"/>
          <w:u w:color="000000"/>
          <w:lang w:val="zh-TW"/>
        </w:rPr>
        <w:t>针</w:t>
      </w:r>
      <w:r>
        <w:rPr>
          <w:rFonts w:ascii="仿宋_GB2312" w:hAnsi="仿宋_GB2312" w:eastAsia="仿宋_GB2312" w:cs="仿宋_GB2312"/>
          <w:sz w:val="32"/>
          <w:szCs w:val="32"/>
          <w:u w:color="000000"/>
          <w:lang w:val="zh-TW"/>
        </w:rPr>
        <w:t>对所有企业客户及大额经营性个人客户，在借款合同中与客户约定加强环境风险管理的声明和保证条款，提高信贷资金安全保障</w:t>
      </w:r>
      <w:r>
        <w:rPr>
          <w:rFonts w:eastAsia="仿宋_GB2312"/>
          <w:sz w:val="32"/>
          <w:szCs w:val="32"/>
          <w:u w:color="000000"/>
          <w:lang w:val="zh-TW"/>
        </w:rPr>
        <w:t>，有效引导客户提升环境风险防范意识，从而注重日常绿色经营。</w:t>
      </w:r>
    </w:p>
    <w:p w14:paraId="1E8AF9AC">
      <w:pPr>
        <w:pStyle w:val="40"/>
        <w:ind w:firstLine="643"/>
        <w:outlineLvl w:val="2"/>
        <w:rPr>
          <w:rFonts w:ascii="仿宋_GB2312" w:hAnsi="Times New Roman" w:eastAsia="仿宋_GB2312"/>
          <w:lang w:eastAsia="zh-CN"/>
        </w:rPr>
      </w:pPr>
      <w:bookmarkStart w:id="103" w:name="_Toc42012341"/>
      <w:bookmarkStart w:id="104" w:name="_Toc23515"/>
      <w:r>
        <w:rPr>
          <w:rFonts w:ascii="Times New Roman" w:hAnsi="Times New Roman"/>
          <w:lang w:eastAsia="zh-CN"/>
        </w:rPr>
        <w:t>5.2.4</w:t>
      </w:r>
      <w:bookmarkEnd w:id="103"/>
      <w:r>
        <w:rPr>
          <w:rFonts w:hint="eastAsia" w:ascii="仿宋_GB2312" w:hAnsi="Times New Roman" w:eastAsia="仿宋_GB2312"/>
          <w:lang w:eastAsia="zh-CN"/>
        </w:rPr>
        <w:t>贷后管理环节</w:t>
      </w:r>
      <w:bookmarkEnd w:id="104"/>
    </w:p>
    <w:p w14:paraId="5498EDFC">
      <w:pPr>
        <w:spacing w:line="560" w:lineRule="exact"/>
        <w:ind w:firstLine="640" w:firstLineChars="200"/>
      </w:pPr>
      <w:r>
        <w:rPr>
          <w:rFonts w:eastAsia="仿宋_GB2312"/>
          <w:sz w:val="32"/>
          <w:szCs w:val="32"/>
          <w:u w:color="000000"/>
          <w:lang w:val="zh-TW"/>
        </w:rPr>
        <w:t>按照绿色信贷全流程管理模式，将企业绿色信息作为贷后跟踪的重要内容。客户经理动态跟踪环保、安监、生态办等部门对企业开展的相关检查以及评定结果，企业绿色信息发生变化的，及时关注发展动向并采取防范措施，同时在绿色信息共享平台中纳入变化的信息，以备后期跟踪管理。</w:t>
      </w:r>
      <w:bookmarkStart w:id="105" w:name="_Toc70665262"/>
    </w:p>
    <w:p w14:paraId="09EEC6B9">
      <w:pPr>
        <w:pStyle w:val="2"/>
        <w:ind w:firstLine="640"/>
        <w:rPr>
          <w:rFonts w:ascii="Times New Roman" w:hAnsi="Times New Roman"/>
          <w:u w:color="000000"/>
          <w:lang w:val="en-US"/>
        </w:rPr>
      </w:pPr>
      <w:bookmarkStart w:id="106" w:name="_Toc15717"/>
      <w:r>
        <w:rPr>
          <w:rFonts w:ascii="Times New Roman" w:hAnsi="Times New Roman"/>
          <w:u w:color="000000"/>
          <w:lang w:val="en-US"/>
        </w:rPr>
        <w:t>6本机构经营活动对环境产生的影响</w:t>
      </w:r>
      <w:bookmarkEnd w:id="105"/>
      <w:bookmarkEnd w:id="106"/>
    </w:p>
    <w:p w14:paraId="284A6972">
      <w:pPr>
        <w:pStyle w:val="40"/>
        <w:ind w:firstLine="643"/>
        <w:rPr>
          <w:rFonts w:ascii="Times New Roman" w:hAnsi="Times New Roman"/>
          <w:lang w:eastAsia="zh-CN"/>
        </w:rPr>
      </w:pPr>
      <w:bookmarkStart w:id="107" w:name="_Toc17348"/>
      <w:r>
        <w:rPr>
          <w:rFonts w:ascii="Times New Roman" w:hAnsi="Times New Roman" w:eastAsia="仿宋_GB2312"/>
        </w:rPr>
        <w:t>6.</w:t>
      </w:r>
      <w:r>
        <w:rPr>
          <w:rFonts w:ascii="Times New Roman" w:hAnsi="Times New Roman"/>
        </w:rPr>
        <w:t>1本机构</w:t>
      </w:r>
      <w:r>
        <w:rPr>
          <w:rFonts w:hint="eastAsia" w:ascii="Times New Roman" w:hAnsi="Times New Roman"/>
          <w:lang w:val="en-US" w:eastAsia="zh-CN"/>
        </w:rPr>
        <w:t>2023</w:t>
      </w:r>
      <w:r>
        <w:rPr>
          <w:rFonts w:ascii="Times New Roman" w:hAnsi="Times New Roman"/>
          <w:lang w:eastAsia="zh-CN"/>
        </w:rPr>
        <w:t>年经营活动</w:t>
      </w:r>
      <w:r>
        <w:rPr>
          <w:rFonts w:ascii="Times New Roman" w:hAnsi="Times New Roman"/>
        </w:rPr>
        <w:t>产生的</w:t>
      </w:r>
      <w:r>
        <w:rPr>
          <w:rFonts w:ascii="Times New Roman" w:hAnsi="Times New Roman"/>
          <w:lang w:eastAsia="zh-CN"/>
        </w:rPr>
        <w:t>碳排放</w:t>
      </w:r>
      <w:bookmarkEnd w:id="107"/>
    </w:p>
    <w:p w14:paraId="49BC03C5">
      <w:pPr>
        <w:pStyle w:val="19"/>
        <w:spacing w:line="560" w:lineRule="exact"/>
        <w:ind w:firstLine="640"/>
        <w:rPr>
          <w:rFonts w:eastAsia="仿宋_GB2312"/>
          <w:sz w:val="32"/>
          <w:szCs w:val="32"/>
          <w:u w:color="000000"/>
          <w:lang w:val="zh-TW"/>
        </w:rPr>
      </w:pPr>
      <w:r>
        <w:rPr>
          <w:rFonts w:ascii="仿宋_GB2312" w:hAnsi="仿宋_GB2312" w:eastAsia="仿宋_GB2312" w:cs="仿宋_GB2312"/>
          <w:sz w:val="32"/>
          <w:szCs w:val="32"/>
          <w:u w:color="000000"/>
          <w:lang w:val="zh-TW"/>
        </w:rPr>
        <w:t>根据监管部门有关要求，本行</w:t>
      </w:r>
      <w:r>
        <w:rPr>
          <w:rFonts w:hint="eastAsia" w:ascii="仿宋_GB2312" w:hAnsi="仿宋_GB2312" w:eastAsia="仿宋_GB2312" w:cs="仿宋_GB2312"/>
          <w:sz w:val="32"/>
          <w:szCs w:val="32"/>
          <w:u w:color="000000"/>
          <w:lang w:val="zh-TW"/>
        </w:rPr>
        <w:t>依据第三方专业机构方法学，核算了2023年度</w:t>
      </w:r>
      <w:r>
        <w:rPr>
          <w:rFonts w:ascii="仿宋_GB2312" w:hAnsi="仿宋_GB2312" w:eastAsia="仿宋_GB2312" w:cs="仿宋_GB2312"/>
          <w:sz w:val="32"/>
          <w:szCs w:val="32"/>
          <w:u w:color="000000"/>
          <w:lang w:val="zh-TW"/>
        </w:rPr>
        <w:t>银行自身运营碳排放量</w:t>
      </w:r>
      <w:r>
        <w:rPr>
          <w:rFonts w:hint="eastAsia" w:ascii="仿宋_GB2312" w:hAnsi="仿宋_GB2312" w:eastAsia="仿宋_GB2312" w:cs="仿宋_GB2312"/>
          <w:sz w:val="32"/>
          <w:szCs w:val="32"/>
          <w:u w:color="000000"/>
          <w:lang w:val="zh-TW"/>
        </w:rPr>
        <w:t>。</w:t>
      </w:r>
      <w:r>
        <w:rPr>
          <w:rFonts w:eastAsia="仿宋_GB2312"/>
          <w:sz w:val="32"/>
          <w:szCs w:val="32"/>
          <w:u w:color="000000"/>
          <w:lang w:val="zh-TW"/>
        </w:rPr>
        <w:t xml:space="preserve"> </w:t>
      </w:r>
    </w:p>
    <w:p w14:paraId="4CE96FBD">
      <w:pPr>
        <w:pStyle w:val="40"/>
        <w:ind w:firstLine="643"/>
        <w:outlineLvl w:val="2"/>
        <w:rPr>
          <w:rFonts w:ascii="Times New Roman" w:hAnsi="Times New Roman"/>
          <w:lang w:eastAsia="zh-CN"/>
        </w:rPr>
      </w:pPr>
      <w:bookmarkStart w:id="108" w:name="_Toc6813"/>
      <w:r>
        <w:rPr>
          <w:rFonts w:ascii="Times New Roman" w:hAnsi="Times New Roman"/>
          <w:lang w:eastAsia="zh-CN"/>
        </w:rPr>
        <w:t>6.1.1</w:t>
      </w:r>
      <w:r>
        <w:rPr>
          <w:rFonts w:hint="eastAsia" w:ascii="仿宋_GB2312" w:hAnsi="Times New Roman" w:eastAsia="仿宋_GB2312"/>
          <w:lang w:eastAsia="zh-CN"/>
        </w:rPr>
        <w:t>核算边界及排放源识别</w:t>
      </w:r>
      <w:bookmarkEnd w:id="108"/>
    </w:p>
    <w:p w14:paraId="327070F7">
      <w:pPr>
        <w:spacing w:line="560" w:lineRule="exact"/>
        <w:ind w:firstLine="640" w:firstLineChars="200"/>
        <w:rPr>
          <w:rFonts w:eastAsia="仿宋_GB2312"/>
          <w:sz w:val="32"/>
          <w:szCs w:val="32"/>
          <w:u w:color="000000"/>
          <w:lang w:val="zh-TW"/>
        </w:rPr>
      </w:pPr>
      <w:r>
        <w:rPr>
          <w:rFonts w:eastAsia="仿宋_GB2312"/>
          <w:sz w:val="32"/>
          <w:szCs w:val="32"/>
          <w:u w:color="000000"/>
          <w:lang w:val="zh-TW"/>
        </w:rPr>
        <w:t>以本行总部机关及各支行网点、离行设备及丰收驿站等固定/移动设备设施和与自身运营有关的供应链作为核算边界。按照范围划分，其自身运营碳排放维度的排放源包括如下领域。</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222"/>
        <w:gridCol w:w="2976"/>
        <w:gridCol w:w="3969"/>
      </w:tblGrid>
      <w:tr w14:paraId="78A5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13" w:type="dxa"/>
          </w:tcPr>
          <w:p w14:paraId="1EAA7C43">
            <w:pPr>
              <w:pStyle w:val="27"/>
              <w:widowControl/>
              <w:jc w:val="center"/>
              <w:rPr>
                <w:rFonts w:eastAsia="仿宋_GB2312" w:cs="Times New Roman"/>
                <w:b/>
                <w:color w:val="auto"/>
              </w:rPr>
            </w:pPr>
          </w:p>
        </w:tc>
        <w:tc>
          <w:tcPr>
            <w:tcW w:w="1222" w:type="dxa"/>
          </w:tcPr>
          <w:p w14:paraId="0D6DE997">
            <w:pPr>
              <w:pStyle w:val="27"/>
              <w:widowControl/>
              <w:jc w:val="center"/>
              <w:rPr>
                <w:rFonts w:eastAsia="宋体" w:cs="Times New Roman"/>
                <w:b/>
                <w:color w:val="auto"/>
              </w:rPr>
            </w:pPr>
            <w:r>
              <w:rPr>
                <w:rFonts w:eastAsia="宋体" w:cs="Times New Roman"/>
                <w:b/>
                <w:color w:val="auto"/>
              </w:rPr>
              <w:t>排放类型</w:t>
            </w:r>
          </w:p>
        </w:tc>
        <w:tc>
          <w:tcPr>
            <w:tcW w:w="2976" w:type="dxa"/>
          </w:tcPr>
          <w:p w14:paraId="4CA6F1C3">
            <w:pPr>
              <w:pStyle w:val="27"/>
              <w:widowControl/>
              <w:jc w:val="center"/>
              <w:rPr>
                <w:rFonts w:eastAsia="宋体" w:cs="Times New Roman"/>
                <w:b/>
                <w:color w:val="auto"/>
              </w:rPr>
            </w:pPr>
            <w:r>
              <w:rPr>
                <w:rFonts w:eastAsia="宋体" w:cs="Times New Roman"/>
                <w:b/>
                <w:color w:val="auto"/>
              </w:rPr>
              <w:t>说明</w:t>
            </w:r>
          </w:p>
        </w:tc>
        <w:tc>
          <w:tcPr>
            <w:tcW w:w="3969" w:type="dxa"/>
          </w:tcPr>
          <w:p w14:paraId="3B95B09D">
            <w:pPr>
              <w:pStyle w:val="27"/>
              <w:widowControl/>
              <w:jc w:val="center"/>
              <w:rPr>
                <w:rFonts w:eastAsia="宋体" w:cs="Times New Roman"/>
                <w:b/>
                <w:color w:val="auto"/>
              </w:rPr>
            </w:pPr>
            <w:r>
              <w:rPr>
                <w:rFonts w:eastAsia="宋体" w:cs="Times New Roman"/>
                <w:b/>
                <w:color w:val="auto"/>
              </w:rPr>
              <w:t>具体内容</w:t>
            </w:r>
          </w:p>
        </w:tc>
      </w:tr>
      <w:tr w14:paraId="4677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3" w:type="dxa"/>
            <w:vAlign w:val="center"/>
          </w:tcPr>
          <w:p w14:paraId="782DDDC7">
            <w:pPr>
              <w:pStyle w:val="27"/>
              <w:widowControl/>
              <w:jc w:val="center"/>
              <w:rPr>
                <w:rFonts w:eastAsia="宋体" w:cs="Times New Roman"/>
                <w:b/>
                <w:color w:val="auto"/>
              </w:rPr>
            </w:pPr>
            <w:r>
              <w:rPr>
                <w:rFonts w:eastAsia="宋体" w:cs="Times New Roman"/>
                <w:b/>
                <w:color w:val="auto"/>
              </w:rPr>
              <w:t>范围一</w:t>
            </w:r>
          </w:p>
        </w:tc>
        <w:tc>
          <w:tcPr>
            <w:tcW w:w="1222" w:type="dxa"/>
            <w:vAlign w:val="center"/>
          </w:tcPr>
          <w:p w14:paraId="12A217E7">
            <w:pPr>
              <w:pStyle w:val="44"/>
              <w:widowControl/>
              <w:jc w:val="left"/>
              <w:rPr>
                <w:rFonts w:ascii="Times New Roman" w:hAnsi="Times New Roman" w:eastAsia="宋体"/>
                <w:sz w:val="21"/>
                <w:szCs w:val="21"/>
                <w:lang w:val="en-US"/>
              </w:rPr>
            </w:pPr>
            <w:r>
              <w:rPr>
                <w:rFonts w:ascii="Times New Roman" w:hAnsi="Times New Roman" w:eastAsia="宋体"/>
                <w:sz w:val="21"/>
                <w:szCs w:val="21"/>
                <w:lang w:val="en-US"/>
              </w:rPr>
              <w:t>直接排放</w:t>
            </w:r>
          </w:p>
        </w:tc>
        <w:tc>
          <w:tcPr>
            <w:tcW w:w="2976" w:type="dxa"/>
            <w:vAlign w:val="center"/>
          </w:tcPr>
          <w:p w14:paraId="6F7BAF17">
            <w:pPr>
              <w:pStyle w:val="44"/>
              <w:jc w:val="left"/>
              <w:rPr>
                <w:rFonts w:ascii="Times New Roman" w:hAnsi="Times New Roman" w:eastAsia="宋体"/>
                <w:sz w:val="21"/>
                <w:szCs w:val="21"/>
                <w:lang w:val="en-US"/>
              </w:rPr>
            </w:pPr>
            <w:r>
              <w:rPr>
                <w:rFonts w:ascii="Times New Roman" w:hAnsi="Times New Roman" w:eastAsia="宋体"/>
                <w:sz w:val="21"/>
                <w:szCs w:val="21"/>
                <w:lang w:val="en-US"/>
              </w:rPr>
              <w:t>金融机构自身所拥有或直接控制的，固定和移动燃烧设备中发生氧化燃烧过程产生的温室气体排放。</w:t>
            </w:r>
          </w:p>
        </w:tc>
        <w:tc>
          <w:tcPr>
            <w:tcW w:w="3969" w:type="dxa"/>
            <w:vAlign w:val="center"/>
          </w:tcPr>
          <w:p w14:paraId="76F8EBB4">
            <w:pPr>
              <w:pStyle w:val="44"/>
              <w:jc w:val="left"/>
              <w:rPr>
                <w:rFonts w:ascii="Times New Roman" w:hAnsi="Times New Roman" w:eastAsia="宋体"/>
                <w:sz w:val="21"/>
                <w:szCs w:val="21"/>
                <w:lang w:val="en-US"/>
              </w:rPr>
            </w:pP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1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①</w:t>
            </w:r>
            <w:r>
              <w:rPr>
                <w:rFonts w:ascii="Times New Roman" w:hAnsi="Times New Roman" w:eastAsia="宋体"/>
                <w:sz w:val="21"/>
                <w:szCs w:val="21"/>
                <w:lang w:val="en-US"/>
              </w:rPr>
              <w:fldChar w:fldCharType="end"/>
            </w:r>
            <w:r>
              <w:rPr>
                <w:rFonts w:ascii="Times New Roman" w:hAnsi="Times New Roman" w:eastAsia="宋体"/>
                <w:sz w:val="21"/>
                <w:szCs w:val="21"/>
                <w:lang w:val="en-US"/>
              </w:rPr>
              <w:t>发电机组消耗的柴油；</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2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②</w:t>
            </w:r>
            <w:r>
              <w:rPr>
                <w:rFonts w:ascii="Times New Roman" w:hAnsi="Times New Roman" w:eastAsia="宋体"/>
                <w:sz w:val="21"/>
                <w:szCs w:val="21"/>
                <w:lang w:val="en-US"/>
              </w:rPr>
              <w:fldChar w:fldCharType="end"/>
            </w:r>
            <w:r>
              <w:rPr>
                <w:rFonts w:ascii="Times New Roman" w:hAnsi="Times New Roman" w:eastAsia="宋体"/>
                <w:sz w:val="21"/>
                <w:szCs w:val="21"/>
                <w:lang w:val="en-US"/>
              </w:rPr>
              <w:t>食堂消耗的天然气、液化石油气；</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3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③</w:t>
            </w:r>
            <w:r>
              <w:rPr>
                <w:rFonts w:ascii="Times New Roman" w:hAnsi="Times New Roman" w:eastAsia="宋体"/>
                <w:sz w:val="21"/>
                <w:szCs w:val="21"/>
                <w:lang w:val="en-US"/>
              </w:rPr>
              <w:fldChar w:fldCharType="end"/>
            </w:r>
            <w:r>
              <w:rPr>
                <w:rFonts w:ascii="Times New Roman" w:hAnsi="Times New Roman" w:eastAsia="宋体"/>
                <w:sz w:val="21"/>
                <w:szCs w:val="21"/>
                <w:lang w:val="en-US"/>
              </w:rPr>
              <w:t>公务用车消耗的汽油、柴油等。</w:t>
            </w:r>
          </w:p>
        </w:tc>
      </w:tr>
      <w:tr w14:paraId="0AF6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13" w:type="dxa"/>
            <w:vAlign w:val="center"/>
          </w:tcPr>
          <w:p w14:paraId="6C4688B0">
            <w:pPr>
              <w:pStyle w:val="27"/>
              <w:widowControl/>
              <w:jc w:val="center"/>
              <w:rPr>
                <w:rFonts w:eastAsia="宋体" w:cs="Times New Roman"/>
                <w:b/>
                <w:color w:val="auto"/>
              </w:rPr>
            </w:pPr>
            <w:r>
              <w:rPr>
                <w:rFonts w:eastAsia="宋体" w:cs="Times New Roman"/>
                <w:b/>
                <w:color w:val="auto"/>
              </w:rPr>
              <w:t>范围二</w:t>
            </w:r>
          </w:p>
        </w:tc>
        <w:tc>
          <w:tcPr>
            <w:tcW w:w="1222" w:type="dxa"/>
            <w:vAlign w:val="center"/>
          </w:tcPr>
          <w:p w14:paraId="68F6AD17">
            <w:pPr>
              <w:pStyle w:val="44"/>
              <w:widowControl/>
              <w:jc w:val="left"/>
              <w:rPr>
                <w:rFonts w:ascii="Times New Roman" w:hAnsi="Times New Roman" w:eastAsia="宋体"/>
                <w:sz w:val="21"/>
                <w:szCs w:val="21"/>
                <w:lang w:val="en-US"/>
              </w:rPr>
            </w:pPr>
            <w:r>
              <w:rPr>
                <w:rFonts w:ascii="Times New Roman" w:hAnsi="Times New Roman" w:eastAsia="宋体"/>
                <w:sz w:val="21"/>
                <w:szCs w:val="21"/>
                <w:lang w:val="en-US"/>
              </w:rPr>
              <w:t>与能源相关的间接排放</w:t>
            </w:r>
          </w:p>
        </w:tc>
        <w:tc>
          <w:tcPr>
            <w:tcW w:w="2976" w:type="dxa"/>
            <w:vAlign w:val="center"/>
          </w:tcPr>
          <w:p w14:paraId="5A5B2D96">
            <w:pPr>
              <w:pStyle w:val="44"/>
              <w:jc w:val="left"/>
              <w:rPr>
                <w:rFonts w:ascii="Times New Roman" w:hAnsi="Times New Roman" w:eastAsia="宋体"/>
                <w:sz w:val="21"/>
                <w:szCs w:val="21"/>
                <w:lang w:val="en-US"/>
              </w:rPr>
            </w:pPr>
            <w:r>
              <w:rPr>
                <w:rFonts w:ascii="Times New Roman" w:hAnsi="Times New Roman" w:eastAsia="宋体"/>
                <w:sz w:val="21"/>
                <w:szCs w:val="21"/>
                <w:lang w:val="en-US"/>
              </w:rPr>
              <w:t>金融机构自身消耗外购电力产生的二氧化碳排放。</w:t>
            </w:r>
          </w:p>
        </w:tc>
        <w:tc>
          <w:tcPr>
            <w:tcW w:w="3969" w:type="dxa"/>
            <w:vAlign w:val="center"/>
          </w:tcPr>
          <w:p w14:paraId="76F0B259">
            <w:pPr>
              <w:pStyle w:val="44"/>
              <w:jc w:val="left"/>
              <w:rPr>
                <w:rFonts w:ascii="Times New Roman" w:hAnsi="Times New Roman" w:eastAsia="宋体"/>
                <w:sz w:val="21"/>
                <w:szCs w:val="21"/>
                <w:lang w:val="en-US"/>
              </w:rPr>
            </w:pP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1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①</w:t>
            </w:r>
            <w:r>
              <w:rPr>
                <w:rFonts w:ascii="Times New Roman" w:hAnsi="Times New Roman" w:eastAsia="宋体"/>
                <w:sz w:val="21"/>
                <w:szCs w:val="21"/>
                <w:lang w:val="en-US"/>
              </w:rPr>
              <w:fldChar w:fldCharType="end"/>
            </w:r>
            <w:r>
              <w:rPr>
                <w:rFonts w:ascii="Times New Roman" w:hAnsi="Times New Roman" w:eastAsia="宋体"/>
                <w:sz w:val="21"/>
                <w:szCs w:val="21"/>
                <w:lang w:val="en-US"/>
              </w:rPr>
              <w:t>公共机构照明、空调（新风）、电梯、办公设备、公务用车等消耗的电力；</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2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②</w:t>
            </w:r>
            <w:r>
              <w:rPr>
                <w:rFonts w:ascii="Times New Roman" w:hAnsi="Times New Roman" w:eastAsia="宋体"/>
                <w:sz w:val="21"/>
                <w:szCs w:val="21"/>
                <w:lang w:val="en-US"/>
              </w:rPr>
              <w:fldChar w:fldCharType="end"/>
            </w:r>
            <w:r>
              <w:rPr>
                <w:rFonts w:ascii="Times New Roman" w:hAnsi="Times New Roman" w:eastAsia="宋体"/>
                <w:sz w:val="21"/>
                <w:szCs w:val="21"/>
                <w:lang w:val="en-US"/>
              </w:rPr>
              <w:t>离行式ATM配套；</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3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③</w:t>
            </w:r>
            <w:r>
              <w:rPr>
                <w:rFonts w:ascii="Times New Roman" w:hAnsi="Times New Roman" w:eastAsia="宋体"/>
                <w:sz w:val="21"/>
                <w:szCs w:val="21"/>
                <w:lang w:val="en-US"/>
              </w:rPr>
              <w:fldChar w:fldCharType="end"/>
            </w:r>
            <w:r>
              <w:rPr>
                <w:rFonts w:ascii="Times New Roman" w:hAnsi="Times New Roman" w:eastAsia="宋体"/>
                <w:sz w:val="21"/>
                <w:szCs w:val="21"/>
                <w:lang w:val="en-US"/>
              </w:rPr>
              <w:t>助农终端等。</w:t>
            </w:r>
          </w:p>
        </w:tc>
      </w:tr>
      <w:tr w14:paraId="5C61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013" w:type="dxa"/>
            <w:vAlign w:val="center"/>
          </w:tcPr>
          <w:p w14:paraId="409D1C5D">
            <w:pPr>
              <w:pStyle w:val="27"/>
              <w:widowControl/>
              <w:jc w:val="center"/>
              <w:rPr>
                <w:rFonts w:eastAsia="仿宋_GB2312" w:cs="Times New Roman"/>
                <w:b/>
                <w:color w:val="auto"/>
                <w:sz w:val="24"/>
                <w:szCs w:val="24"/>
                <w:lang w:val="zh-TW"/>
              </w:rPr>
            </w:pPr>
            <w:r>
              <w:rPr>
                <w:rFonts w:eastAsia="宋体" w:cs="Times New Roman"/>
                <w:b/>
                <w:color w:val="auto"/>
              </w:rPr>
              <w:t>范围三</w:t>
            </w:r>
          </w:p>
        </w:tc>
        <w:tc>
          <w:tcPr>
            <w:tcW w:w="1222" w:type="dxa"/>
            <w:vAlign w:val="center"/>
          </w:tcPr>
          <w:p w14:paraId="6655E3B7">
            <w:pPr>
              <w:pStyle w:val="44"/>
              <w:widowControl/>
              <w:jc w:val="left"/>
              <w:rPr>
                <w:rFonts w:ascii="Times New Roman" w:hAnsi="Times New Roman" w:eastAsia="宋体"/>
                <w:sz w:val="21"/>
                <w:szCs w:val="21"/>
                <w:lang w:val="en-US"/>
              </w:rPr>
            </w:pPr>
            <w:r>
              <w:rPr>
                <w:rFonts w:ascii="Times New Roman" w:hAnsi="Times New Roman" w:eastAsia="宋体"/>
                <w:sz w:val="21"/>
                <w:szCs w:val="21"/>
                <w:lang w:val="en-US"/>
              </w:rPr>
              <w:t>其他供应链端所产生的间接排放</w:t>
            </w:r>
          </w:p>
        </w:tc>
        <w:tc>
          <w:tcPr>
            <w:tcW w:w="2976" w:type="dxa"/>
            <w:vAlign w:val="center"/>
          </w:tcPr>
          <w:p w14:paraId="080DCBB6">
            <w:pPr>
              <w:pStyle w:val="44"/>
              <w:jc w:val="left"/>
              <w:rPr>
                <w:rFonts w:ascii="Times New Roman" w:hAnsi="Times New Roman" w:eastAsia="宋体"/>
                <w:sz w:val="21"/>
                <w:szCs w:val="21"/>
                <w:lang w:val="en-US"/>
              </w:rPr>
            </w:pPr>
            <w:r>
              <w:rPr>
                <w:rFonts w:ascii="Times New Roman" w:hAnsi="Times New Roman" w:eastAsia="宋体"/>
                <w:sz w:val="21"/>
                <w:szCs w:val="21"/>
                <w:lang w:val="en-US"/>
              </w:rPr>
              <w:t>金融机构自身运营相关的供应链所产生的间接排放。</w:t>
            </w:r>
          </w:p>
        </w:tc>
        <w:tc>
          <w:tcPr>
            <w:tcW w:w="3969" w:type="dxa"/>
            <w:vAlign w:val="center"/>
          </w:tcPr>
          <w:p w14:paraId="144CABA2">
            <w:pPr>
              <w:pStyle w:val="44"/>
              <w:jc w:val="left"/>
              <w:rPr>
                <w:rFonts w:ascii="Times New Roman" w:hAnsi="Times New Roman" w:eastAsia="宋体"/>
                <w:sz w:val="21"/>
                <w:szCs w:val="21"/>
                <w:lang w:val="en-US"/>
              </w:rPr>
            </w:pP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1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①</w:t>
            </w:r>
            <w:r>
              <w:rPr>
                <w:rFonts w:ascii="Times New Roman" w:hAnsi="Times New Roman" w:eastAsia="宋体"/>
                <w:sz w:val="21"/>
                <w:szCs w:val="21"/>
                <w:lang w:val="en-US"/>
              </w:rPr>
              <w:fldChar w:fldCharType="end"/>
            </w:r>
            <w:r>
              <w:rPr>
                <w:rFonts w:ascii="Times New Roman" w:hAnsi="Times New Roman" w:eastAsia="宋体"/>
                <w:sz w:val="21"/>
                <w:szCs w:val="21"/>
                <w:lang w:val="en-US"/>
              </w:rPr>
              <w:t>押解车辆外包运输消耗的汽油、柴油；</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2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②</w:t>
            </w:r>
            <w:r>
              <w:rPr>
                <w:rFonts w:ascii="Times New Roman" w:hAnsi="Times New Roman" w:eastAsia="宋体"/>
                <w:sz w:val="21"/>
                <w:szCs w:val="21"/>
                <w:lang w:val="en-US"/>
              </w:rPr>
              <w:fldChar w:fldCharType="end"/>
            </w:r>
            <w:r>
              <w:rPr>
                <w:rFonts w:ascii="Times New Roman" w:hAnsi="Times New Roman" w:eastAsia="宋体"/>
                <w:sz w:val="21"/>
                <w:szCs w:val="21"/>
                <w:lang w:val="en-US"/>
              </w:rPr>
              <w:t>垃圾分类处理产生的排放；</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3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③</w:t>
            </w:r>
            <w:r>
              <w:rPr>
                <w:rFonts w:ascii="Times New Roman" w:hAnsi="Times New Roman" w:eastAsia="宋体"/>
                <w:sz w:val="21"/>
                <w:szCs w:val="21"/>
                <w:lang w:val="en-US"/>
              </w:rPr>
              <w:fldChar w:fldCharType="end"/>
            </w:r>
            <w:r>
              <w:rPr>
                <w:rFonts w:ascii="Times New Roman" w:hAnsi="Times New Roman" w:eastAsia="宋体"/>
                <w:sz w:val="21"/>
                <w:szCs w:val="21"/>
                <w:lang w:val="en-US"/>
              </w:rPr>
              <w:t>日常办公消耗纸张；</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4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④</w:t>
            </w:r>
            <w:r>
              <w:rPr>
                <w:rFonts w:ascii="Times New Roman" w:hAnsi="Times New Roman" w:eastAsia="宋体"/>
                <w:sz w:val="21"/>
                <w:szCs w:val="21"/>
                <w:lang w:val="en-US"/>
              </w:rPr>
              <w:fldChar w:fldCharType="end"/>
            </w:r>
            <w:r>
              <w:rPr>
                <w:rFonts w:ascii="Times New Roman" w:hAnsi="Times New Roman" w:eastAsia="宋体"/>
                <w:sz w:val="21"/>
                <w:szCs w:val="21"/>
                <w:lang w:val="en-US"/>
              </w:rPr>
              <w:t>员工商务差旅涉及的交通出行产生的排放；</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5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⑤</w:t>
            </w:r>
            <w:r>
              <w:rPr>
                <w:rFonts w:ascii="Times New Roman" w:hAnsi="Times New Roman" w:eastAsia="宋体"/>
                <w:sz w:val="21"/>
                <w:szCs w:val="21"/>
                <w:lang w:val="en-US"/>
              </w:rPr>
              <w:fldChar w:fldCharType="end"/>
            </w:r>
            <w:r>
              <w:rPr>
                <w:rFonts w:ascii="Times New Roman" w:hAnsi="Times New Roman" w:eastAsia="宋体"/>
                <w:sz w:val="21"/>
                <w:szCs w:val="21"/>
                <w:lang w:val="en-US"/>
              </w:rPr>
              <w:t>员工通勤消耗的汽油、柴油等。</w:t>
            </w:r>
          </w:p>
        </w:tc>
      </w:tr>
    </w:tbl>
    <w:p w14:paraId="162C2523">
      <w:pPr>
        <w:pStyle w:val="40"/>
        <w:ind w:firstLine="643"/>
        <w:outlineLvl w:val="2"/>
        <w:rPr>
          <w:lang w:eastAsia="zh-CN"/>
        </w:rPr>
      </w:pPr>
      <w:bookmarkStart w:id="109" w:name="_Toc22368"/>
      <w:r>
        <w:rPr>
          <w:lang w:eastAsia="zh-CN"/>
        </w:rPr>
        <w:t>6.1.2</w:t>
      </w:r>
      <w:r>
        <w:rPr>
          <w:rFonts w:hint="eastAsia" w:ascii="仿宋_GB2312" w:eastAsia="仿宋_GB2312"/>
          <w:lang w:eastAsia="zh-CN"/>
        </w:rPr>
        <w:t>温室气体排放总量及构成</w:t>
      </w:r>
      <w:bookmarkEnd w:id="109"/>
    </w:p>
    <w:p w14:paraId="3699637E">
      <w:pPr>
        <w:spacing w:line="560" w:lineRule="exact"/>
        <w:ind w:firstLine="640" w:firstLineChars="200"/>
        <w:rPr>
          <w:rFonts w:eastAsia="仿宋_GB2312"/>
          <w:sz w:val="32"/>
          <w:szCs w:val="32"/>
          <w:u w:color="000000"/>
          <w:lang w:val="zh-TW"/>
        </w:rPr>
      </w:pPr>
      <w:r>
        <w:rPr>
          <w:rFonts w:eastAsia="仿宋_GB2312"/>
          <w:sz w:val="32"/>
          <w:szCs w:val="32"/>
          <w:u w:color="000000"/>
          <w:lang w:val="zh-TW"/>
        </w:rPr>
        <w:t>在排放源识别的基础上，本行核算并报告了各核算单元的温室气体排放总量。经统计，</w:t>
      </w:r>
      <w:r>
        <w:rPr>
          <w:rFonts w:hint="eastAsia" w:eastAsia="仿宋_GB2312"/>
          <w:sz w:val="32"/>
          <w:szCs w:val="32"/>
          <w:u w:color="000000"/>
          <w:lang w:val="zh-TW"/>
        </w:rPr>
        <w:t>本行</w:t>
      </w:r>
      <w:r>
        <w:rPr>
          <w:rFonts w:hint="eastAsia" w:eastAsia="仿宋_GB2312"/>
          <w:sz w:val="32"/>
          <w:szCs w:val="32"/>
          <w:u w:color="000000"/>
        </w:rPr>
        <w:t>2023</w:t>
      </w:r>
      <w:r>
        <w:rPr>
          <w:rFonts w:hint="eastAsia" w:eastAsia="仿宋_GB2312"/>
          <w:sz w:val="32"/>
          <w:szCs w:val="32"/>
          <w:u w:color="000000"/>
          <w:lang w:val="zh-TW"/>
        </w:rPr>
        <w:t>年度自身运营温室气体排放总量为</w:t>
      </w:r>
      <w:r>
        <w:rPr>
          <w:rFonts w:hint="eastAsia" w:eastAsia="仿宋_GB2312"/>
          <w:sz w:val="32"/>
          <w:szCs w:val="32"/>
          <w:u w:color="000000"/>
        </w:rPr>
        <w:t>5211.65</w:t>
      </w:r>
      <w:r>
        <w:rPr>
          <w:rFonts w:hint="eastAsia" w:eastAsia="仿宋_GB2312"/>
          <w:sz w:val="32"/>
          <w:szCs w:val="32"/>
          <w:u w:color="000000"/>
          <w:lang w:val="zh-TW"/>
        </w:rPr>
        <w:t>吨二氧化碳当量。按照当年员工总人数7</w:t>
      </w:r>
      <w:r>
        <w:rPr>
          <w:rFonts w:hint="eastAsia" w:eastAsia="仿宋_GB2312"/>
          <w:sz w:val="32"/>
          <w:szCs w:val="32"/>
          <w:u w:color="000000"/>
        </w:rPr>
        <w:t>05</w:t>
      </w:r>
      <w:r>
        <w:rPr>
          <w:rFonts w:hint="eastAsia" w:eastAsia="仿宋_GB2312"/>
          <w:sz w:val="32"/>
          <w:szCs w:val="32"/>
          <w:u w:color="000000"/>
          <w:lang w:val="zh-TW"/>
        </w:rPr>
        <w:t>计算，人均温室气体排放</w:t>
      </w:r>
      <w:r>
        <w:rPr>
          <w:rFonts w:hint="eastAsia" w:eastAsia="仿宋_GB2312"/>
          <w:sz w:val="32"/>
          <w:szCs w:val="32"/>
          <w:u w:color="000000"/>
        </w:rPr>
        <w:t>7.33</w:t>
      </w:r>
      <w:r>
        <w:rPr>
          <w:rFonts w:hint="eastAsia" w:eastAsia="仿宋_GB2312"/>
          <w:sz w:val="32"/>
          <w:szCs w:val="32"/>
          <w:u w:color="000000"/>
          <w:lang w:val="zh-TW"/>
        </w:rPr>
        <w:t>吨二氧化碳当量，202</w:t>
      </w:r>
      <w:r>
        <w:rPr>
          <w:rFonts w:hint="eastAsia" w:eastAsia="仿宋_GB2312"/>
          <w:sz w:val="32"/>
          <w:szCs w:val="32"/>
          <w:u w:color="000000"/>
        </w:rPr>
        <w:t>3</w:t>
      </w:r>
      <w:r>
        <w:rPr>
          <w:rFonts w:hint="eastAsia" w:eastAsia="仿宋_GB2312"/>
          <w:sz w:val="32"/>
          <w:szCs w:val="32"/>
          <w:u w:color="000000"/>
          <w:lang w:val="zh-TW"/>
        </w:rPr>
        <w:t>年度已实施的屋顶光伏发电项目发电总量为123.91兆瓦时，其中自发自用余电上网49.24兆瓦时，总计相当于减少65吨二氧化碳排放。</w:t>
      </w:r>
    </w:p>
    <w:p w14:paraId="358A9FF5">
      <w:pPr>
        <w:spacing w:line="560" w:lineRule="exact"/>
        <w:ind w:firstLine="640" w:firstLineChars="200"/>
        <w:rPr>
          <w:rFonts w:eastAsia="仿宋_GB2312"/>
          <w:sz w:val="32"/>
          <w:szCs w:val="32"/>
          <w:u w:color="000000"/>
          <w:lang w:val="zh-TW"/>
        </w:rPr>
      </w:pPr>
      <w:r>
        <w:rPr>
          <w:rFonts w:hint="eastAsia" w:eastAsia="仿宋_GB2312"/>
          <w:sz w:val="32"/>
          <w:szCs w:val="32"/>
          <w:u w:color="000000"/>
          <w:lang w:val="zh-TW"/>
        </w:rPr>
        <w:t>按照范围分析，本行202</w:t>
      </w:r>
      <w:r>
        <w:rPr>
          <w:rFonts w:hint="eastAsia" w:eastAsia="仿宋_GB2312"/>
          <w:sz w:val="32"/>
          <w:szCs w:val="32"/>
          <w:u w:color="000000"/>
        </w:rPr>
        <w:t>3</w:t>
      </w:r>
      <w:r>
        <w:rPr>
          <w:rFonts w:hint="eastAsia" w:eastAsia="仿宋_GB2312"/>
          <w:sz w:val="32"/>
          <w:szCs w:val="32"/>
          <w:u w:color="000000"/>
          <w:lang w:val="zh-TW"/>
        </w:rPr>
        <w:t>年</w:t>
      </w:r>
      <w:r>
        <w:rPr>
          <w:rFonts w:eastAsia="仿宋_GB2312"/>
          <w:sz w:val="32"/>
          <w:szCs w:val="32"/>
          <w:u w:color="000000"/>
          <w:lang w:val="zh-TW"/>
        </w:rPr>
        <w:t>度自身运营温室气体排放总量构成如下：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605"/>
        <w:gridCol w:w="2348"/>
      </w:tblGrid>
      <w:tr w14:paraId="0C1B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425" w:type="dxa"/>
            <w:shd w:val="clear" w:color="auto" w:fill="F2F2F2"/>
            <w:vAlign w:val="center"/>
          </w:tcPr>
          <w:p w14:paraId="222742E9">
            <w:pPr>
              <w:widowControl/>
              <w:jc w:val="center"/>
              <w:rPr>
                <w:b/>
                <w:kern w:val="0"/>
                <w:szCs w:val="21"/>
              </w:rPr>
            </w:pPr>
            <w:r>
              <w:rPr>
                <w:b/>
                <w:kern w:val="0"/>
                <w:szCs w:val="21"/>
              </w:rPr>
              <w:t>范围</w:t>
            </w:r>
          </w:p>
        </w:tc>
        <w:tc>
          <w:tcPr>
            <w:tcW w:w="2605" w:type="dxa"/>
            <w:shd w:val="clear" w:color="auto" w:fill="F2F2F2"/>
            <w:vAlign w:val="center"/>
          </w:tcPr>
          <w:p w14:paraId="573EB45E">
            <w:pPr>
              <w:widowControl/>
              <w:spacing w:line="600" w:lineRule="exact"/>
              <w:jc w:val="center"/>
              <w:rPr>
                <w:b/>
                <w:kern w:val="0"/>
                <w:szCs w:val="21"/>
              </w:rPr>
            </w:pPr>
            <w:r>
              <w:rPr>
                <w:b/>
                <w:kern w:val="0"/>
                <w:szCs w:val="21"/>
              </w:rPr>
              <w:t>排放量</w:t>
            </w:r>
            <w:r>
              <w:rPr>
                <w:kern w:val="0"/>
                <w:szCs w:val="21"/>
                <w:lang w:eastAsia="zh-Hans"/>
              </w:rPr>
              <w:t>（</w:t>
            </w:r>
            <w:r>
              <w:rPr>
                <w:szCs w:val="21"/>
              </w:rPr>
              <w:t>tCO</w:t>
            </w:r>
            <w:r>
              <w:rPr>
                <w:szCs w:val="21"/>
                <w:vertAlign w:val="subscript"/>
              </w:rPr>
              <w:t>2</w:t>
            </w:r>
            <w:r>
              <w:rPr>
                <w:szCs w:val="21"/>
              </w:rPr>
              <w:t>e</w:t>
            </w:r>
            <w:r>
              <w:rPr>
                <w:szCs w:val="21"/>
                <w:lang w:eastAsia="zh-Hans"/>
              </w:rPr>
              <w:t>）</w:t>
            </w:r>
          </w:p>
        </w:tc>
        <w:tc>
          <w:tcPr>
            <w:tcW w:w="2348" w:type="dxa"/>
            <w:shd w:val="clear" w:color="auto" w:fill="F2F2F2"/>
            <w:vAlign w:val="center"/>
          </w:tcPr>
          <w:p w14:paraId="1B9A5E2E">
            <w:pPr>
              <w:widowControl/>
              <w:spacing w:line="600" w:lineRule="exact"/>
              <w:jc w:val="center"/>
              <w:rPr>
                <w:b/>
                <w:kern w:val="0"/>
                <w:szCs w:val="21"/>
              </w:rPr>
            </w:pPr>
            <w:r>
              <w:rPr>
                <w:b/>
                <w:kern w:val="0"/>
                <w:szCs w:val="21"/>
              </w:rPr>
              <w:t>占比</w:t>
            </w:r>
            <w:r>
              <w:rPr>
                <w:b/>
                <w:kern w:val="0"/>
                <w:szCs w:val="21"/>
                <w:lang w:eastAsia="zh-Hans"/>
              </w:rPr>
              <w:t>（%）</w:t>
            </w:r>
          </w:p>
        </w:tc>
      </w:tr>
      <w:tr w14:paraId="0A33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25" w:type="dxa"/>
          </w:tcPr>
          <w:p w14:paraId="222D88A7">
            <w:pPr>
              <w:spacing w:before="156" w:beforeLines="50" w:line="461" w:lineRule="auto"/>
              <w:jc w:val="center"/>
              <w:rPr>
                <w:b/>
                <w:szCs w:val="21"/>
              </w:rPr>
            </w:pPr>
            <w:r>
              <w:rPr>
                <w:b/>
                <w:szCs w:val="21"/>
              </w:rPr>
              <w:t>范围1排放</w:t>
            </w:r>
          </w:p>
        </w:tc>
        <w:tc>
          <w:tcPr>
            <w:tcW w:w="2605" w:type="dxa"/>
            <w:vAlign w:val="center"/>
          </w:tcPr>
          <w:p w14:paraId="47E0231E">
            <w:pPr>
              <w:spacing w:before="156" w:beforeLines="50" w:line="600" w:lineRule="exact"/>
              <w:jc w:val="center"/>
              <w:rPr>
                <w:szCs w:val="21"/>
              </w:rPr>
            </w:pPr>
            <w:r>
              <w:rPr>
                <w:rFonts w:hint="eastAsia"/>
                <w:szCs w:val="21"/>
              </w:rPr>
              <w:t>86.79</w:t>
            </w:r>
          </w:p>
        </w:tc>
        <w:tc>
          <w:tcPr>
            <w:tcW w:w="2348" w:type="dxa"/>
            <w:vAlign w:val="center"/>
          </w:tcPr>
          <w:p w14:paraId="7CB0156E">
            <w:pPr>
              <w:spacing w:before="156" w:beforeLines="50" w:line="600" w:lineRule="exact"/>
              <w:jc w:val="center"/>
              <w:rPr>
                <w:szCs w:val="21"/>
              </w:rPr>
            </w:pPr>
            <w:r>
              <w:rPr>
                <w:rFonts w:hint="eastAsia"/>
                <w:szCs w:val="21"/>
              </w:rPr>
              <w:t>1.66</w:t>
            </w:r>
          </w:p>
        </w:tc>
      </w:tr>
      <w:tr w14:paraId="4C53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25" w:type="dxa"/>
          </w:tcPr>
          <w:p w14:paraId="6399E11B">
            <w:pPr>
              <w:spacing w:before="156" w:beforeLines="50" w:line="461" w:lineRule="auto"/>
              <w:jc w:val="center"/>
              <w:rPr>
                <w:b/>
                <w:szCs w:val="21"/>
              </w:rPr>
            </w:pPr>
            <w:r>
              <w:rPr>
                <w:b/>
                <w:szCs w:val="21"/>
              </w:rPr>
              <w:t>范围2排放</w:t>
            </w:r>
          </w:p>
        </w:tc>
        <w:tc>
          <w:tcPr>
            <w:tcW w:w="2605" w:type="dxa"/>
            <w:vAlign w:val="center"/>
          </w:tcPr>
          <w:p w14:paraId="215DC172">
            <w:pPr>
              <w:spacing w:before="156" w:beforeLines="50" w:line="600" w:lineRule="exact"/>
              <w:jc w:val="center"/>
              <w:rPr>
                <w:szCs w:val="21"/>
              </w:rPr>
            </w:pPr>
            <w:r>
              <w:rPr>
                <w:rFonts w:hint="eastAsia"/>
                <w:szCs w:val="21"/>
              </w:rPr>
              <w:t>2805.19</w:t>
            </w:r>
          </w:p>
        </w:tc>
        <w:tc>
          <w:tcPr>
            <w:tcW w:w="2348" w:type="dxa"/>
            <w:vAlign w:val="center"/>
          </w:tcPr>
          <w:p w14:paraId="24D2F6D3">
            <w:pPr>
              <w:spacing w:before="156" w:beforeLines="50" w:line="600" w:lineRule="exact"/>
              <w:jc w:val="center"/>
              <w:rPr>
                <w:szCs w:val="21"/>
              </w:rPr>
            </w:pPr>
            <w:r>
              <w:rPr>
                <w:rFonts w:hint="eastAsia"/>
                <w:szCs w:val="21"/>
              </w:rPr>
              <w:t>53.83</w:t>
            </w:r>
          </w:p>
        </w:tc>
      </w:tr>
      <w:tr w14:paraId="64AD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5" w:type="dxa"/>
          </w:tcPr>
          <w:p w14:paraId="4669DC2E">
            <w:pPr>
              <w:spacing w:before="156" w:beforeLines="50" w:line="461" w:lineRule="auto"/>
              <w:jc w:val="center"/>
              <w:rPr>
                <w:b/>
                <w:szCs w:val="21"/>
              </w:rPr>
            </w:pPr>
            <w:r>
              <w:rPr>
                <w:b/>
                <w:szCs w:val="21"/>
              </w:rPr>
              <w:t>范围3排放</w:t>
            </w:r>
          </w:p>
        </w:tc>
        <w:tc>
          <w:tcPr>
            <w:tcW w:w="2605" w:type="dxa"/>
            <w:vAlign w:val="center"/>
          </w:tcPr>
          <w:p w14:paraId="6630A6E0">
            <w:pPr>
              <w:spacing w:before="156" w:beforeLines="50" w:line="600" w:lineRule="exact"/>
              <w:jc w:val="center"/>
              <w:rPr>
                <w:szCs w:val="21"/>
              </w:rPr>
            </w:pPr>
            <w:r>
              <w:rPr>
                <w:rFonts w:hint="eastAsia"/>
                <w:szCs w:val="21"/>
              </w:rPr>
              <w:t>2319.67</w:t>
            </w:r>
          </w:p>
        </w:tc>
        <w:tc>
          <w:tcPr>
            <w:tcW w:w="2348" w:type="dxa"/>
            <w:vAlign w:val="center"/>
          </w:tcPr>
          <w:p w14:paraId="737EDB3B">
            <w:pPr>
              <w:spacing w:before="156" w:beforeLines="50" w:line="600" w:lineRule="exact"/>
              <w:jc w:val="center"/>
              <w:rPr>
                <w:szCs w:val="21"/>
              </w:rPr>
            </w:pPr>
            <w:r>
              <w:rPr>
                <w:rFonts w:hint="eastAsia"/>
                <w:szCs w:val="21"/>
              </w:rPr>
              <w:t>44.51</w:t>
            </w:r>
          </w:p>
        </w:tc>
      </w:tr>
      <w:tr w14:paraId="196E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5" w:type="dxa"/>
          </w:tcPr>
          <w:p w14:paraId="66FA5E6B">
            <w:pPr>
              <w:spacing w:before="156" w:beforeLines="50" w:line="461" w:lineRule="auto"/>
              <w:jc w:val="center"/>
              <w:rPr>
                <w:b/>
                <w:szCs w:val="21"/>
              </w:rPr>
            </w:pPr>
            <w:r>
              <w:rPr>
                <w:b/>
                <w:szCs w:val="21"/>
              </w:rPr>
              <w:t>总计</w:t>
            </w:r>
          </w:p>
        </w:tc>
        <w:tc>
          <w:tcPr>
            <w:tcW w:w="2605" w:type="dxa"/>
            <w:vAlign w:val="bottom"/>
          </w:tcPr>
          <w:p w14:paraId="2E050DBB">
            <w:pPr>
              <w:spacing w:before="156" w:beforeLines="50" w:line="600" w:lineRule="exact"/>
              <w:jc w:val="center"/>
              <w:rPr>
                <w:rFonts w:eastAsia="等线"/>
                <w:b/>
                <w:szCs w:val="21"/>
              </w:rPr>
            </w:pPr>
            <w:r>
              <w:rPr>
                <w:rFonts w:hint="eastAsia" w:eastAsia="等线"/>
                <w:b/>
                <w:szCs w:val="21"/>
              </w:rPr>
              <w:t>5211.65</w:t>
            </w:r>
          </w:p>
        </w:tc>
        <w:tc>
          <w:tcPr>
            <w:tcW w:w="2348" w:type="dxa"/>
          </w:tcPr>
          <w:p w14:paraId="12EC9721">
            <w:pPr>
              <w:spacing w:before="156" w:beforeLines="50" w:line="600" w:lineRule="exact"/>
              <w:jc w:val="center"/>
              <w:rPr>
                <w:b/>
                <w:szCs w:val="21"/>
              </w:rPr>
            </w:pPr>
            <w:r>
              <w:rPr>
                <w:b/>
                <w:szCs w:val="21"/>
              </w:rPr>
              <w:t>100</w:t>
            </w:r>
          </w:p>
        </w:tc>
      </w:tr>
    </w:tbl>
    <w:p w14:paraId="3E0F94BE">
      <w:pPr>
        <w:spacing w:before="156" w:beforeLines="50" w:line="461" w:lineRule="auto"/>
        <w:ind w:firstLine="643"/>
        <w:rPr>
          <w:color w:val="0000FF"/>
        </w:rPr>
      </w:pPr>
    </w:p>
    <w:p w14:paraId="76CA0301">
      <w:pPr>
        <w:spacing w:before="156" w:beforeLines="50" w:line="461" w:lineRule="auto"/>
        <w:ind w:firstLine="643"/>
      </w:pPr>
      <w:r>
        <w:drawing>
          <wp:inline distT="0" distB="0" distL="114300" distR="114300">
            <wp:extent cx="4826000" cy="3199765"/>
            <wp:effectExtent l="4445" t="4445" r="15875" b="11430"/>
            <wp:docPr id="1027" name="图表 2"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EE2303B">
      <w:pPr>
        <w:ind w:firstLine="643"/>
        <w:jc w:val="center"/>
        <w:rPr>
          <w:b/>
        </w:rPr>
      </w:pPr>
      <w:r>
        <w:rPr>
          <w:rFonts w:hint="eastAsia"/>
          <w:b/>
        </w:rPr>
        <w:t>图6-1-1安吉农商银行2023年度自身运营温室气体排放总量构成图</w:t>
      </w:r>
    </w:p>
    <w:p w14:paraId="06610C72">
      <w:pPr>
        <w:spacing w:line="560" w:lineRule="exact"/>
        <w:ind w:firstLine="640" w:firstLineChars="200"/>
        <w:jc w:val="left"/>
        <w:rPr>
          <w:rFonts w:eastAsia="仿宋_GB2312"/>
          <w:sz w:val="32"/>
          <w:szCs w:val="32"/>
          <w:highlight w:val="yellow"/>
          <w:u w:color="000000"/>
          <w:lang w:val="zh-TW"/>
        </w:rPr>
      </w:pPr>
    </w:p>
    <w:p w14:paraId="5427300E">
      <w:pPr>
        <w:spacing w:line="560" w:lineRule="exact"/>
        <w:ind w:firstLine="640" w:firstLineChars="200"/>
        <w:jc w:val="left"/>
        <w:rPr>
          <w:rFonts w:eastAsia="仿宋_GB2312"/>
          <w:sz w:val="32"/>
          <w:szCs w:val="32"/>
          <w:u w:color="000000"/>
          <w:lang w:val="zh-TW"/>
        </w:rPr>
      </w:pPr>
      <w:r>
        <w:rPr>
          <w:rFonts w:eastAsia="仿宋_GB2312"/>
          <w:sz w:val="32"/>
          <w:szCs w:val="32"/>
          <w:u w:color="000000"/>
          <w:lang w:val="zh-TW"/>
        </w:rPr>
        <w:t>按照主要排放源分析，安吉农商</w:t>
      </w:r>
      <w:r>
        <w:rPr>
          <w:rFonts w:hint="eastAsia" w:eastAsia="仿宋_GB2312"/>
          <w:sz w:val="32"/>
          <w:szCs w:val="32"/>
          <w:u w:color="000000"/>
          <w:lang w:val="zh-TW"/>
        </w:rPr>
        <w:t>银</w:t>
      </w:r>
      <w:r>
        <w:rPr>
          <w:rFonts w:eastAsia="仿宋_GB2312"/>
          <w:sz w:val="32"/>
          <w:szCs w:val="32"/>
          <w:u w:color="000000"/>
          <w:lang w:val="zh-TW" w:eastAsia="zh-Hans"/>
        </w:rPr>
        <w:t>行202</w:t>
      </w:r>
      <w:r>
        <w:rPr>
          <w:rFonts w:hint="eastAsia" w:eastAsia="仿宋_GB2312"/>
          <w:sz w:val="32"/>
          <w:szCs w:val="32"/>
          <w:u w:color="000000"/>
        </w:rPr>
        <w:t>3</w:t>
      </w:r>
      <w:r>
        <w:rPr>
          <w:rFonts w:eastAsia="仿宋_GB2312"/>
          <w:sz w:val="32"/>
          <w:szCs w:val="32"/>
          <w:u w:color="000000"/>
          <w:lang w:val="zh-TW" w:eastAsia="zh-Hans"/>
        </w:rPr>
        <w:t>年度</w:t>
      </w:r>
      <w:r>
        <w:rPr>
          <w:rFonts w:eastAsia="仿宋_GB2312"/>
          <w:sz w:val="32"/>
          <w:szCs w:val="32"/>
          <w:u w:color="000000"/>
          <w:lang w:val="zh-TW"/>
        </w:rPr>
        <w:t>排放最高的前三名分别为：自身运营外购电力消耗</w:t>
      </w:r>
      <w:r>
        <w:rPr>
          <w:rFonts w:eastAsia="仿宋_GB2312"/>
          <w:sz w:val="32"/>
          <w:szCs w:val="32"/>
          <w:u w:color="000000"/>
          <w:lang w:val="zh-TW" w:eastAsia="zh-Hans"/>
        </w:rPr>
        <w:t>引起的温室气体</w:t>
      </w:r>
      <w:r>
        <w:rPr>
          <w:rFonts w:eastAsia="仿宋_GB2312"/>
          <w:sz w:val="32"/>
          <w:szCs w:val="32"/>
          <w:u w:color="000000"/>
          <w:lang w:val="zh-TW"/>
        </w:rPr>
        <w:t>排放</w:t>
      </w:r>
      <w:r>
        <w:rPr>
          <w:rFonts w:hint="eastAsia" w:eastAsia="仿宋_GB2312"/>
          <w:sz w:val="32"/>
          <w:szCs w:val="32"/>
          <w:u w:color="000000"/>
          <w:lang w:val="zh-TW"/>
        </w:rPr>
        <w:t>2805.19</w:t>
      </w:r>
      <w:r>
        <w:rPr>
          <w:rFonts w:eastAsia="仿宋_GB2312"/>
          <w:sz w:val="32"/>
          <w:szCs w:val="32"/>
          <w:u w:color="000000"/>
          <w:lang w:val="zh-TW"/>
        </w:rPr>
        <w:t>吨二氧化碳当量，占比5</w:t>
      </w:r>
      <w:r>
        <w:rPr>
          <w:rFonts w:hint="eastAsia" w:eastAsia="仿宋_GB2312"/>
          <w:sz w:val="32"/>
          <w:szCs w:val="32"/>
          <w:u w:color="000000"/>
          <w:lang w:val="zh-TW"/>
        </w:rPr>
        <w:t>3.83</w:t>
      </w:r>
      <w:r>
        <w:rPr>
          <w:rFonts w:eastAsia="仿宋_GB2312"/>
          <w:sz w:val="32"/>
          <w:szCs w:val="32"/>
          <w:u w:color="000000"/>
          <w:lang w:val="zh-TW"/>
        </w:rPr>
        <w:t>%；员工通勤汽油消耗</w:t>
      </w:r>
      <w:r>
        <w:rPr>
          <w:rFonts w:eastAsia="仿宋_GB2312"/>
          <w:sz w:val="32"/>
          <w:szCs w:val="32"/>
          <w:u w:color="000000"/>
          <w:lang w:val="zh-TW" w:eastAsia="zh-Hans"/>
        </w:rPr>
        <w:t>引起的温室气体</w:t>
      </w:r>
      <w:r>
        <w:rPr>
          <w:rFonts w:eastAsia="仿宋_GB2312"/>
          <w:sz w:val="32"/>
          <w:szCs w:val="32"/>
          <w:u w:color="000000"/>
          <w:lang w:val="zh-TW"/>
        </w:rPr>
        <w:t>排放</w:t>
      </w:r>
      <w:r>
        <w:rPr>
          <w:rFonts w:hint="eastAsia" w:eastAsia="仿宋_GB2312"/>
          <w:sz w:val="32"/>
          <w:szCs w:val="32"/>
          <w:u w:color="000000"/>
          <w:lang w:val="zh-TW"/>
        </w:rPr>
        <w:t>1174.63</w:t>
      </w:r>
      <w:r>
        <w:rPr>
          <w:rFonts w:eastAsia="仿宋_GB2312"/>
          <w:sz w:val="32"/>
          <w:szCs w:val="32"/>
          <w:u w:color="000000"/>
          <w:lang w:val="zh-TW"/>
        </w:rPr>
        <w:t>吨二氧化碳当量，占比2</w:t>
      </w:r>
      <w:r>
        <w:rPr>
          <w:rFonts w:hint="eastAsia" w:eastAsia="仿宋_GB2312"/>
          <w:sz w:val="32"/>
          <w:szCs w:val="32"/>
          <w:u w:color="000000"/>
          <w:lang w:val="zh-TW"/>
        </w:rPr>
        <w:t>2.54</w:t>
      </w:r>
      <w:r>
        <w:rPr>
          <w:rFonts w:eastAsia="仿宋_GB2312"/>
          <w:sz w:val="32"/>
          <w:szCs w:val="32"/>
          <w:u w:color="000000"/>
          <w:lang w:val="zh-TW"/>
        </w:rPr>
        <w:t>%；</w:t>
      </w:r>
      <w:bookmarkStart w:id="110" w:name="_Hlk133418252"/>
      <w:r>
        <w:rPr>
          <w:rFonts w:eastAsia="仿宋_GB2312"/>
          <w:sz w:val="32"/>
          <w:szCs w:val="32"/>
          <w:u w:color="000000"/>
          <w:lang w:val="zh-TW"/>
        </w:rPr>
        <w:t>外包运输柴油消耗</w:t>
      </w:r>
      <w:r>
        <w:rPr>
          <w:rFonts w:eastAsia="仿宋_GB2312"/>
          <w:sz w:val="32"/>
          <w:szCs w:val="32"/>
          <w:u w:color="000000"/>
          <w:lang w:val="zh-TW" w:eastAsia="zh-Hans"/>
        </w:rPr>
        <w:t>引起的温室气体</w:t>
      </w:r>
      <w:r>
        <w:rPr>
          <w:rFonts w:eastAsia="仿宋_GB2312"/>
          <w:sz w:val="32"/>
          <w:szCs w:val="32"/>
          <w:u w:color="000000"/>
          <w:lang w:val="zh-TW"/>
        </w:rPr>
        <w:t>排放</w:t>
      </w:r>
      <w:r>
        <w:rPr>
          <w:rFonts w:hint="eastAsia" w:eastAsia="仿宋_GB2312"/>
          <w:sz w:val="32"/>
          <w:szCs w:val="32"/>
          <w:u w:color="000000"/>
          <w:lang w:val="zh-TW"/>
        </w:rPr>
        <w:t>1105.3</w:t>
      </w:r>
      <w:r>
        <w:rPr>
          <w:rFonts w:eastAsia="仿宋_GB2312"/>
          <w:sz w:val="32"/>
          <w:szCs w:val="32"/>
          <w:u w:color="000000"/>
          <w:lang w:val="zh-TW"/>
        </w:rPr>
        <w:t>吨二氧化碳当量，占比</w:t>
      </w:r>
      <w:r>
        <w:rPr>
          <w:rFonts w:hint="eastAsia" w:eastAsia="仿宋_GB2312"/>
          <w:sz w:val="32"/>
          <w:szCs w:val="32"/>
          <w:u w:color="000000"/>
        </w:rPr>
        <w:t>额</w:t>
      </w:r>
      <w:r>
        <w:rPr>
          <w:rFonts w:eastAsia="仿宋_GB2312"/>
          <w:sz w:val="32"/>
          <w:szCs w:val="32"/>
          <w:u w:color="000000"/>
          <w:lang w:val="zh-TW"/>
        </w:rPr>
        <w:t>2</w:t>
      </w:r>
      <w:r>
        <w:rPr>
          <w:rFonts w:hint="eastAsia" w:eastAsia="仿宋_GB2312"/>
          <w:sz w:val="32"/>
          <w:szCs w:val="32"/>
          <w:u w:color="000000"/>
          <w:lang w:val="zh-TW"/>
        </w:rPr>
        <w:t>1.21</w:t>
      </w:r>
      <w:r>
        <w:rPr>
          <w:rFonts w:eastAsia="仿宋_GB2312"/>
          <w:sz w:val="32"/>
          <w:szCs w:val="32"/>
          <w:u w:color="000000"/>
          <w:lang w:val="zh-TW"/>
        </w:rPr>
        <w:t>%。</w:t>
      </w:r>
      <w:bookmarkEnd w:id="110"/>
    </w:p>
    <w:p w14:paraId="7E6B5D3A">
      <w:pPr>
        <w:spacing w:line="560" w:lineRule="exact"/>
        <w:ind w:firstLine="422" w:firstLineChars="200"/>
        <w:jc w:val="center"/>
        <w:rPr>
          <w:b/>
        </w:rPr>
      </w:pPr>
    </w:p>
    <w:p w14:paraId="77E47998">
      <w:pPr>
        <w:spacing w:line="560" w:lineRule="exact"/>
        <w:ind w:firstLine="643"/>
        <w:jc w:val="center"/>
        <w:rPr>
          <w:rFonts w:eastAsia="仿宋_GB2312"/>
          <w:sz w:val="24"/>
          <w:u w:color="000000"/>
          <w:lang w:val="zh-TW"/>
        </w:rPr>
      </w:pPr>
      <w:r>
        <w:drawing>
          <wp:anchor distT="0" distB="0" distL="114300" distR="114300" simplePos="0" relativeHeight="251660288" behindDoc="0" locked="0" layoutInCell="1" allowOverlap="1">
            <wp:simplePos x="0" y="0"/>
            <wp:positionH relativeFrom="column">
              <wp:posOffset>499745</wp:posOffset>
            </wp:positionH>
            <wp:positionV relativeFrom="paragraph">
              <wp:posOffset>28575</wp:posOffset>
            </wp:positionV>
            <wp:extent cx="4291965" cy="2566035"/>
            <wp:effectExtent l="0" t="0" r="13335" b="5715"/>
            <wp:wrapTopAndBottom/>
            <wp:docPr id="307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b/>
        </w:rPr>
        <w:t>图6</w:t>
      </w:r>
      <w:r>
        <w:rPr>
          <w:b/>
        </w:rPr>
        <w:t>-</w:t>
      </w:r>
      <w:r>
        <w:rPr>
          <w:rFonts w:hint="eastAsia"/>
          <w:b/>
        </w:rPr>
        <w:t>1-2安吉农商银行2023年度主要排放源分析</w:t>
      </w:r>
    </w:p>
    <w:p w14:paraId="1319C26B">
      <w:pPr>
        <w:pStyle w:val="40"/>
        <w:ind w:firstLine="643"/>
        <w:rPr>
          <w:rFonts w:ascii="Times New Roman" w:hAnsi="Times New Roman"/>
          <w:lang w:eastAsia="zh-CN"/>
        </w:rPr>
      </w:pPr>
      <w:bookmarkStart w:id="111" w:name="_Toc8093"/>
      <w:r>
        <w:rPr>
          <w:rFonts w:ascii="Times New Roman" w:hAnsi="Times New Roman" w:eastAsia="仿宋_GB2312"/>
        </w:rPr>
        <w:t>6.</w:t>
      </w:r>
      <w:r>
        <w:rPr>
          <w:rFonts w:ascii="Times New Roman" w:hAnsi="Times New Roman"/>
          <w:lang w:eastAsia="zh-CN"/>
        </w:rPr>
        <w:t>2</w:t>
      </w:r>
      <w:r>
        <w:rPr>
          <w:rFonts w:hint="eastAsia" w:ascii="Times New Roman" w:hAnsi="Times New Roman"/>
        </w:rPr>
        <w:t>本机构</w:t>
      </w:r>
      <w:r>
        <w:rPr>
          <w:rFonts w:ascii="Times New Roman" w:hAnsi="Times New Roman"/>
          <w:lang w:val="en-US" w:eastAsia="zh-CN"/>
        </w:rPr>
        <w:t>202</w:t>
      </w:r>
      <w:r>
        <w:rPr>
          <w:rFonts w:hint="eastAsia" w:ascii="Times New Roman" w:hAnsi="Times New Roman"/>
          <w:lang w:val="en-US" w:eastAsia="zh-CN"/>
        </w:rPr>
        <w:t>4</w:t>
      </w:r>
      <w:r>
        <w:rPr>
          <w:rFonts w:hint="eastAsia" w:ascii="Times New Roman" w:hAnsi="Times New Roman"/>
          <w:lang w:eastAsia="zh-CN"/>
        </w:rPr>
        <w:t>年经营活动对环境产生的</w:t>
      </w:r>
      <w:r>
        <w:rPr>
          <w:rFonts w:hint="eastAsia" w:ascii="Times New Roman" w:hAnsi="Times New Roman"/>
        </w:rPr>
        <w:t>影响</w:t>
      </w:r>
      <w:bookmarkEnd w:id="111"/>
    </w:p>
    <w:p w14:paraId="5E4442A2">
      <w:pPr>
        <w:spacing w:line="560" w:lineRule="exact"/>
        <w:ind w:firstLine="640" w:firstLineChars="200"/>
        <w:rPr>
          <w:rFonts w:eastAsia="仿宋_GB2312"/>
          <w:sz w:val="32"/>
          <w:szCs w:val="32"/>
          <w:u w:color="000000"/>
          <w:lang w:val="zh-TW"/>
        </w:rPr>
      </w:pPr>
      <w:r>
        <w:rPr>
          <w:rFonts w:hint="eastAsia" w:eastAsia="仿宋_GB2312"/>
          <w:sz w:val="32"/>
          <w:szCs w:val="32"/>
          <w:u w:color="000000"/>
          <w:lang w:val="zh-TW"/>
        </w:rPr>
        <w:t>按照公允/通行的计算标准，本机构202</w:t>
      </w:r>
      <w:r>
        <w:rPr>
          <w:rFonts w:hint="eastAsia" w:eastAsia="仿宋_GB2312"/>
          <w:sz w:val="32"/>
          <w:szCs w:val="32"/>
          <w:u w:color="000000"/>
        </w:rPr>
        <w:t>4</w:t>
      </w:r>
      <w:r>
        <w:rPr>
          <w:rFonts w:hint="eastAsia" w:eastAsia="仿宋_GB2312"/>
          <w:sz w:val="32"/>
          <w:szCs w:val="32"/>
          <w:u w:color="000000"/>
          <w:lang w:val="zh-TW"/>
        </w:rPr>
        <w:t>年经营活动对环境产生的影响如下表所示：</w:t>
      </w:r>
    </w:p>
    <w:p w14:paraId="7BBD30CB">
      <w:pPr>
        <w:pStyle w:val="27"/>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表3. 金融机构经营活动对环境产生的影响</w:t>
      </w:r>
    </w:p>
    <w:tbl>
      <w:tblPr>
        <w:tblStyle w:val="20"/>
        <w:tblW w:w="939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833"/>
        <w:gridCol w:w="3648"/>
        <w:gridCol w:w="1456"/>
        <w:gridCol w:w="1456"/>
      </w:tblGrid>
      <w:tr w14:paraId="517910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09" w:hRule="atLeast"/>
          <w:jc w:val="center"/>
        </w:trPr>
        <w:tc>
          <w:tcPr>
            <w:tcW w:w="2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05C3D3">
            <w:pPr>
              <w:pStyle w:val="27"/>
              <w:widowControl/>
              <w:jc w:val="center"/>
              <w:rPr>
                <w:rFonts w:eastAsia="宋体" w:cs="Times New Roman"/>
                <w:b/>
                <w:color w:val="auto"/>
                <w:lang w:val="zh-TW"/>
              </w:rPr>
            </w:pPr>
            <w:r>
              <w:rPr>
                <w:rFonts w:eastAsia="宋体" w:cs="Times New Roman"/>
                <w:b/>
                <w:color w:val="auto"/>
                <w:lang w:val="zh-TW"/>
              </w:rPr>
              <w:t>指标名称</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3634AC">
            <w:pPr>
              <w:pStyle w:val="27"/>
              <w:widowControl/>
              <w:jc w:val="center"/>
              <w:rPr>
                <w:rFonts w:eastAsia="宋体" w:cs="Times New Roman"/>
                <w:b/>
                <w:color w:val="auto"/>
                <w:lang w:val="zh-TW"/>
              </w:rPr>
            </w:pPr>
            <w:r>
              <w:rPr>
                <w:rFonts w:eastAsia="宋体" w:cs="Times New Roman"/>
                <w:b/>
                <w:color w:val="auto"/>
                <w:lang w:val="zh-TW"/>
              </w:rPr>
              <w:t>披露细项</w:t>
            </w:r>
          </w:p>
        </w:tc>
        <w:tc>
          <w:tcPr>
            <w:tcW w:w="1456" w:type="dxa"/>
            <w:tcBorders>
              <w:top w:val="single" w:color="000000" w:sz="4" w:space="0"/>
              <w:left w:val="single" w:color="000000" w:sz="4" w:space="0"/>
              <w:bottom w:val="single" w:color="000000" w:sz="4" w:space="0"/>
              <w:right w:val="single" w:color="000000" w:sz="4" w:space="0"/>
            </w:tcBorders>
            <w:shd w:val="clear" w:color="auto" w:fill="auto"/>
          </w:tcPr>
          <w:p w14:paraId="168F54BF">
            <w:pPr>
              <w:pStyle w:val="27"/>
              <w:widowControl/>
              <w:jc w:val="center"/>
              <w:rPr>
                <w:rFonts w:eastAsia="宋体" w:cs="Times New Roman"/>
                <w:b/>
                <w:color w:val="auto"/>
                <w:lang w:val="zh-TW"/>
              </w:rPr>
            </w:pPr>
            <w:r>
              <w:rPr>
                <w:rFonts w:eastAsia="宋体" w:cs="Times New Roman"/>
                <w:b/>
                <w:color w:val="auto"/>
                <w:lang w:val="zh-TW"/>
              </w:rPr>
              <w:t>总量</w:t>
            </w:r>
          </w:p>
        </w:tc>
        <w:tc>
          <w:tcPr>
            <w:tcW w:w="1456" w:type="dxa"/>
            <w:tcBorders>
              <w:top w:val="single" w:color="000000" w:sz="4" w:space="0"/>
              <w:left w:val="single" w:color="000000" w:sz="4" w:space="0"/>
              <w:bottom w:val="single" w:color="000000" w:sz="4" w:space="0"/>
              <w:right w:val="single" w:color="000000" w:sz="4" w:space="0"/>
            </w:tcBorders>
            <w:shd w:val="clear" w:color="auto" w:fill="auto"/>
          </w:tcPr>
          <w:p w14:paraId="13B2E7F3">
            <w:pPr>
              <w:pStyle w:val="27"/>
              <w:widowControl/>
              <w:jc w:val="center"/>
              <w:rPr>
                <w:rFonts w:eastAsia="宋体" w:cs="Times New Roman"/>
                <w:b/>
                <w:color w:val="auto"/>
                <w:lang w:val="zh-TW"/>
              </w:rPr>
            </w:pPr>
            <w:r>
              <w:rPr>
                <w:rFonts w:eastAsia="宋体" w:cs="Times New Roman"/>
                <w:b/>
                <w:color w:val="auto"/>
                <w:lang w:val="zh-TW"/>
              </w:rPr>
              <w:t>人均</w:t>
            </w:r>
          </w:p>
        </w:tc>
      </w:tr>
      <w:tr w14:paraId="5F6007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09" w:hRule="atLeast"/>
          <w:jc w:val="center"/>
        </w:trPr>
        <w:tc>
          <w:tcPr>
            <w:tcW w:w="28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79B877">
            <w:pPr>
              <w:pStyle w:val="27"/>
              <w:widowControl/>
              <w:jc w:val="left"/>
              <w:rPr>
                <w:rFonts w:eastAsia="宋体" w:cs="Times New Roman"/>
                <w:b/>
                <w:color w:val="auto"/>
              </w:rPr>
            </w:pPr>
            <w:r>
              <w:rPr>
                <w:rFonts w:eastAsia="宋体" w:cs="Times New Roman"/>
                <w:b/>
                <w:color w:val="auto"/>
                <w:lang w:val="zh-TW" w:eastAsia="zh-TW"/>
              </w:rPr>
              <w:t>经营活动直接产生的温室气体排放和自然资源消耗</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68425">
            <w:pPr>
              <w:pStyle w:val="27"/>
              <w:widowControl/>
              <w:jc w:val="left"/>
              <w:rPr>
                <w:rFonts w:eastAsia="宋体" w:cs="Times New Roman"/>
                <w:color w:val="auto"/>
              </w:rPr>
            </w:pPr>
            <w:r>
              <w:rPr>
                <w:rFonts w:eastAsia="宋体" w:cs="Times New Roman"/>
                <w:color w:val="auto"/>
                <w:lang w:val="zh-TW"/>
              </w:rPr>
              <w:t>机构</w:t>
            </w:r>
            <w:r>
              <w:rPr>
                <w:rFonts w:eastAsia="宋体" w:cs="Times New Roman"/>
                <w:color w:val="auto"/>
                <w:lang w:val="zh-TW" w:eastAsia="zh-TW"/>
              </w:rPr>
              <w:t>自有交通运输工具所消耗的燃油</w:t>
            </w:r>
            <w:r>
              <w:rPr>
                <w:rFonts w:eastAsia="宋体" w:cs="Times New Roman"/>
                <w:color w:val="auto"/>
                <w:lang w:val="zh-TW"/>
              </w:rPr>
              <w:t>。（升）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442">
            <w:pPr>
              <w:widowControl/>
              <w:jc w:val="center"/>
              <w:textAlignment w:val="center"/>
              <w:rPr>
                <w:b/>
                <w:kern w:val="0"/>
                <w:szCs w:val="21"/>
                <w:u w:color="000000"/>
              </w:rPr>
            </w:pPr>
          </w:p>
          <w:p w14:paraId="1200C246">
            <w:pPr>
              <w:widowControl/>
              <w:jc w:val="center"/>
              <w:textAlignment w:val="center"/>
              <w:rPr>
                <w:b/>
                <w:kern w:val="0"/>
                <w:szCs w:val="21"/>
                <w:u w:color="000000"/>
              </w:rPr>
            </w:pPr>
            <w:r>
              <w:rPr>
                <w:rFonts w:hint="eastAsia"/>
                <w:b/>
                <w:kern w:val="0"/>
                <w:szCs w:val="21"/>
                <w:u w:color="000000"/>
              </w:rPr>
              <w:t>8513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B70B">
            <w:pPr>
              <w:widowControl/>
              <w:jc w:val="center"/>
              <w:textAlignment w:val="center"/>
              <w:rPr>
                <w:b/>
                <w:kern w:val="0"/>
                <w:szCs w:val="21"/>
                <w:u w:color="000000"/>
              </w:rPr>
            </w:pPr>
          </w:p>
          <w:p w14:paraId="55600300">
            <w:pPr>
              <w:widowControl/>
              <w:jc w:val="center"/>
              <w:textAlignment w:val="center"/>
              <w:rPr>
                <w:b/>
                <w:kern w:val="0"/>
                <w:szCs w:val="21"/>
                <w:u w:color="000000"/>
              </w:rPr>
            </w:pPr>
            <w:r>
              <w:rPr>
                <w:rFonts w:hint="eastAsia"/>
                <w:b/>
                <w:kern w:val="0"/>
                <w:szCs w:val="21"/>
                <w:u w:color="000000"/>
              </w:rPr>
              <w:t>11.82</w:t>
            </w:r>
          </w:p>
        </w:tc>
      </w:tr>
      <w:tr w14:paraId="4276B0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09" w:hRule="atLeast"/>
          <w:jc w:val="center"/>
        </w:trPr>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20592FC">
            <w:pPr>
              <w:rPr>
                <w:b/>
                <w:color w:val="0000FF"/>
                <w:szCs w:val="21"/>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E477E2">
            <w:pPr>
              <w:pStyle w:val="27"/>
              <w:widowControl/>
              <w:jc w:val="left"/>
              <w:rPr>
                <w:rFonts w:eastAsia="宋体" w:cs="Times New Roman"/>
                <w:color w:val="auto"/>
              </w:rPr>
            </w:pPr>
            <w:r>
              <w:rPr>
                <w:rFonts w:eastAsia="宋体" w:cs="Times New Roman"/>
                <w:color w:val="auto"/>
                <w:lang w:val="zh-TW" w:eastAsia="zh-TW"/>
              </w:rPr>
              <w:t>营业、办公活动所消耗的水</w:t>
            </w:r>
            <w:r>
              <w:rPr>
                <w:rFonts w:eastAsia="宋体" w:cs="Times New Roman"/>
                <w:color w:val="auto"/>
                <w:lang w:val="zh-TW"/>
              </w:rPr>
              <w:t>（</w:t>
            </w:r>
            <w:r>
              <w:rPr>
                <w:rFonts w:eastAsia="宋体" w:cs="Times New Roman"/>
                <w:color w:val="auto"/>
              </w:rPr>
              <w:t>吨</w:t>
            </w:r>
            <w:r>
              <w:rPr>
                <w:rFonts w:eastAsia="宋体" w:cs="Times New Roman"/>
                <w:color w:val="auto"/>
                <w:lang w:val="zh-TW"/>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E4A2">
            <w:pPr>
              <w:widowControl/>
              <w:jc w:val="center"/>
              <w:textAlignment w:val="center"/>
              <w:rPr>
                <w:b/>
                <w:kern w:val="0"/>
                <w:szCs w:val="21"/>
                <w:u w:color="000000"/>
              </w:rPr>
            </w:pPr>
            <w:r>
              <w:rPr>
                <w:rFonts w:hint="eastAsia"/>
                <w:b/>
                <w:kern w:val="0"/>
                <w:szCs w:val="21"/>
                <w:u w:color="000000"/>
              </w:rPr>
              <w:t>31999.27</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E8EE">
            <w:pPr>
              <w:widowControl/>
              <w:jc w:val="center"/>
              <w:textAlignment w:val="center"/>
              <w:rPr>
                <w:b/>
                <w:kern w:val="0"/>
                <w:szCs w:val="21"/>
                <w:u w:color="000000"/>
              </w:rPr>
            </w:pPr>
            <w:r>
              <w:rPr>
                <w:rFonts w:hint="eastAsia"/>
                <w:b/>
                <w:kern w:val="0"/>
                <w:szCs w:val="21"/>
                <w:u w:color="000000"/>
              </w:rPr>
              <w:t>44.44</w:t>
            </w:r>
          </w:p>
        </w:tc>
      </w:tr>
      <w:tr w14:paraId="474FE5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99" w:hRule="atLeast"/>
          <w:jc w:val="center"/>
        </w:trPr>
        <w:tc>
          <w:tcPr>
            <w:tcW w:w="283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5E556803">
            <w:pPr>
              <w:pStyle w:val="27"/>
              <w:widowControl/>
              <w:jc w:val="left"/>
              <w:rPr>
                <w:rFonts w:eastAsia="宋体" w:cs="Times New Roman"/>
                <w:b/>
                <w:color w:val="auto"/>
                <w:lang w:val="zh-TW"/>
              </w:rPr>
            </w:pPr>
            <w:r>
              <w:rPr>
                <w:rFonts w:eastAsia="宋体" w:cs="Times New Roman"/>
                <w:b/>
                <w:color w:val="auto"/>
                <w:lang w:val="zh-TW" w:eastAsia="zh-TW"/>
              </w:rPr>
              <w:t>采购的产品或服务所产生的间接温室气体排放和间接自然资源消耗</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841B3A">
            <w:pPr>
              <w:pStyle w:val="27"/>
              <w:widowControl/>
              <w:jc w:val="left"/>
              <w:rPr>
                <w:rFonts w:eastAsia="宋体" w:cs="Times New Roman"/>
                <w:color w:val="auto"/>
              </w:rPr>
            </w:pPr>
            <w:r>
              <w:rPr>
                <w:rFonts w:eastAsia="宋体" w:cs="Times New Roman"/>
                <w:color w:val="auto"/>
                <w:lang w:val="zh-TW" w:eastAsia="zh-TW"/>
              </w:rPr>
              <w:t>营业、办公所消耗的电力</w:t>
            </w:r>
            <w:r>
              <w:rPr>
                <w:rFonts w:eastAsia="宋体" w:cs="Times New Roman"/>
                <w:color w:val="auto"/>
                <w:lang w:val="zh-TW"/>
              </w:rPr>
              <w:t>（千瓦时）</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3546">
            <w:pPr>
              <w:widowControl/>
              <w:jc w:val="center"/>
              <w:textAlignment w:val="center"/>
              <w:rPr>
                <w:b/>
                <w:kern w:val="0"/>
                <w:szCs w:val="21"/>
                <w:u w:color="000000"/>
                <w:lang w:val="zh-TW"/>
              </w:rPr>
            </w:pPr>
            <w:r>
              <w:rPr>
                <w:rFonts w:hint="eastAsia"/>
                <w:b/>
                <w:kern w:val="0"/>
                <w:szCs w:val="21"/>
                <w:u w:color="000000"/>
              </w:rPr>
              <w:t>5255829.54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708E">
            <w:pPr>
              <w:widowControl/>
              <w:jc w:val="center"/>
              <w:textAlignment w:val="center"/>
              <w:rPr>
                <w:b/>
                <w:kern w:val="0"/>
                <w:szCs w:val="21"/>
                <w:u w:color="000000"/>
              </w:rPr>
            </w:pPr>
            <w:r>
              <w:rPr>
                <w:rFonts w:hint="eastAsia"/>
                <w:b/>
                <w:kern w:val="0"/>
                <w:szCs w:val="21"/>
                <w:u w:color="000000"/>
              </w:rPr>
              <w:t>7299.76</w:t>
            </w:r>
          </w:p>
        </w:tc>
      </w:tr>
      <w:tr w14:paraId="76FE25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99" w:hRule="atLeast"/>
          <w:jc w:val="center"/>
        </w:trPr>
        <w:tc>
          <w:tcPr>
            <w:tcW w:w="2833" w:type="dxa"/>
            <w:vMerge w:val="continue"/>
            <w:tcBorders>
              <w:top w:val="single" w:color="auto" w:sz="4" w:space="0"/>
              <w:left w:val="single" w:color="000000" w:sz="4" w:space="0"/>
              <w:bottom w:val="single" w:color="auto" w:sz="4" w:space="0"/>
              <w:right w:val="single" w:color="000000" w:sz="4" w:space="0"/>
            </w:tcBorders>
            <w:shd w:val="clear" w:color="auto" w:fill="auto"/>
          </w:tcPr>
          <w:p w14:paraId="5F1BD1FF">
            <w:pPr>
              <w:rPr>
                <w:b/>
                <w:szCs w:val="21"/>
              </w:rPr>
            </w:pPr>
          </w:p>
        </w:tc>
        <w:tc>
          <w:tcPr>
            <w:tcW w:w="3648"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4954117B">
            <w:pPr>
              <w:pStyle w:val="27"/>
              <w:widowControl/>
              <w:jc w:val="left"/>
              <w:rPr>
                <w:rFonts w:eastAsia="宋体" w:cs="Times New Roman"/>
                <w:color w:val="auto"/>
              </w:rPr>
            </w:pPr>
            <w:r>
              <w:rPr>
                <w:rFonts w:eastAsia="宋体" w:cs="Times New Roman"/>
                <w:color w:val="auto"/>
                <w:lang w:val="zh-TW" w:eastAsia="zh-TW"/>
              </w:rPr>
              <w:t>营业、办公所使用的纸张</w:t>
            </w:r>
            <w:r>
              <w:rPr>
                <w:rFonts w:eastAsia="宋体" w:cs="Times New Roman"/>
                <w:color w:val="auto"/>
                <w:lang w:val="zh-TW"/>
              </w:rPr>
              <w:t>（</w:t>
            </w:r>
            <w:r>
              <w:rPr>
                <w:rFonts w:eastAsia="宋体" w:cs="Times New Roman"/>
                <w:color w:val="auto"/>
              </w:rPr>
              <w:t>吨</w:t>
            </w:r>
            <w:r>
              <w:rPr>
                <w:rFonts w:eastAsia="宋体" w:cs="Times New Roman"/>
                <w:color w:val="auto"/>
                <w:lang w:val="zh-TW"/>
              </w:rPr>
              <w:t>）</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92F8076">
            <w:pPr>
              <w:widowControl/>
              <w:jc w:val="center"/>
              <w:textAlignment w:val="center"/>
              <w:rPr>
                <w:b/>
                <w:kern w:val="0"/>
                <w:szCs w:val="21"/>
                <w:u w:color="000000"/>
              </w:rPr>
            </w:pPr>
            <w:r>
              <w:rPr>
                <w:b/>
                <w:kern w:val="0"/>
                <w:szCs w:val="21"/>
                <w:u w:color="000000"/>
              </w:rPr>
              <w:t>6.2</w:t>
            </w:r>
            <w:r>
              <w:rPr>
                <w:rFonts w:hint="eastAsia"/>
                <w:b/>
                <w:kern w:val="0"/>
                <w:szCs w:val="21"/>
                <w:u w:color="000000"/>
              </w:rPr>
              <w:t>5</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14:paraId="6E601478">
            <w:pPr>
              <w:widowControl/>
              <w:jc w:val="center"/>
              <w:textAlignment w:val="center"/>
              <w:rPr>
                <w:b/>
                <w:kern w:val="0"/>
                <w:szCs w:val="21"/>
                <w:u w:color="000000"/>
                <w:lang w:val="zh-TW" w:eastAsia="zh-TW"/>
              </w:rPr>
            </w:pPr>
            <w:r>
              <w:rPr>
                <w:b/>
                <w:kern w:val="0"/>
                <w:szCs w:val="21"/>
                <w:u w:color="000000"/>
                <w:lang w:val="zh-TW"/>
              </w:rPr>
              <w:t>8.</w:t>
            </w:r>
            <w:r>
              <w:rPr>
                <w:rFonts w:hint="eastAsia"/>
                <w:b/>
                <w:kern w:val="0"/>
                <w:szCs w:val="21"/>
                <w:u w:color="000000"/>
              </w:rPr>
              <w:t>68</w:t>
            </w:r>
            <w:r>
              <w:rPr>
                <w:b/>
                <w:kern w:val="0"/>
                <w:szCs w:val="21"/>
                <w:u w:color="000000"/>
                <w:lang w:val="zh-TW"/>
              </w:rPr>
              <w:t>（公斤）</w:t>
            </w:r>
          </w:p>
        </w:tc>
      </w:tr>
      <w:tr w14:paraId="41F6F1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99" w:hRule="atLeast"/>
          <w:jc w:val="center"/>
        </w:trPr>
        <w:tc>
          <w:tcPr>
            <w:tcW w:w="2833" w:type="dxa"/>
            <w:tcBorders>
              <w:top w:val="single" w:color="auto" w:sz="4" w:space="0"/>
              <w:left w:val="single" w:color="000000" w:sz="4" w:space="0"/>
              <w:bottom w:val="single" w:color="000000" w:sz="4" w:space="0"/>
              <w:right w:val="single" w:color="000000" w:sz="4" w:space="0"/>
            </w:tcBorders>
            <w:shd w:val="clear" w:color="auto" w:fill="auto"/>
          </w:tcPr>
          <w:p w14:paraId="0EE2F4E6">
            <w:pPr>
              <w:rPr>
                <w:b/>
                <w:szCs w:val="21"/>
              </w:rPr>
            </w:pPr>
            <w:r>
              <w:rPr>
                <w:b/>
                <w:szCs w:val="21"/>
                <w:u w:color="000000"/>
                <w:lang w:val="zh-TW" w:eastAsia="zh-TW"/>
              </w:rPr>
              <w:t>金融机构环保措施所产生的效果</w:t>
            </w:r>
          </w:p>
        </w:tc>
        <w:tc>
          <w:tcPr>
            <w:tcW w:w="3648"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D9DEEB">
            <w:pPr>
              <w:pStyle w:val="27"/>
              <w:widowControl/>
              <w:jc w:val="left"/>
              <w:rPr>
                <w:rFonts w:eastAsia="宋体" w:cs="Times New Roman"/>
                <w:color w:val="auto"/>
                <w:lang w:val="zh-TW"/>
              </w:rPr>
            </w:pPr>
            <w:r>
              <w:rPr>
                <w:rFonts w:eastAsia="宋体" w:cs="Times New Roman"/>
                <w:color w:val="auto"/>
                <w:lang w:val="zh-TW" w:eastAsia="zh-TW"/>
              </w:rPr>
              <w:t>为提升员工及社会大众的环保意识所举办的培训活动或公益活动</w:t>
            </w:r>
            <w:r>
              <w:rPr>
                <w:rFonts w:eastAsia="宋体" w:cs="Times New Roman"/>
                <w:color w:val="auto"/>
                <w:lang w:val="zh-TW"/>
              </w:rPr>
              <w:t>（人次）</w:t>
            </w:r>
          </w:p>
        </w:tc>
        <w:tc>
          <w:tcPr>
            <w:tcW w:w="1456" w:type="dxa"/>
            <w:tcBorders>
              <w:top w:val="single" w:color="auto" w:sz="4" w:space="0"/>
              <w:left w:val="single" w:color="000000" w:sz="4" w:space="0"/>
              <w:bottom w:val="single" w:color="000000" w:sz="4" w:space="0"/>
              <w:right w:val="single" w:color="000000" w:sz="4" w:space="0"/>
            </w:tcBorders>
            <w:shd w:val="clear" w:color="auto" w:fill="auto"/>
            <w:vAlign w:val="center"/>
          </w:tcPr>
          <w:p w14:paraId="48499C29">
            <w:pPr>
              <w:widowControl/>
              <w:jc w:val="center"/>
              <w:textAlignment w:val="center"/>
              <w:rPr>
                <w:b/>
                <w:kern w:val="0"/>
                <w:szCs w:val="21"/>
                <w:u w:color="000000"/>
              </w:rPr>
            </w:pPr>
            <w:r>
              <w:rPr>
                <w:rFonts w:hint="eastAsia"/>
                <w:b/>
                <w:kern w:val="0"/>
                <w:szCs w:val="21"/>
                <w:u w:color="000000"/>
              </w:rPr>
              <w:t>7300</w:t>
            </w:r>
          </w:p>
        </w:tc>
        <w:tc>
          <w:tcPr>
            <w:tcW w:w="1456" w:type="dxa"/>
            <w:tcBorders>
              <w:top w:val="single" w:color="auto" w:sz="4" w:space="0"/>
              <w:left w:val="single" w:color="000000" w:sz="4" w:space="0"/>
              <w:bottom w:val="single" w:color="000000" w:sz="4" w:space="0"/>
              <w:right w:val="single" w:color="000000" w:sz="4" w:space="0"/>
            </w:tcBorders>
            <w:shd w:val="clear" w:color="auto" w:fill="A6A6A6"/>
            <w:vAlign w:val="center"/>
          </w:tcPr>
          <w:p w14:paraId="4AF8B2FA">
            <w:pPr>
              <w:widowControl/>
              <w:jc w:val="center"/>
              <w:textAlignment w:val="center"/>
              <w:rPr>
                <w:b/>
                <w:kern w:val="0"/>
                <w:szCs w:val="21"/>
                <w:u w:color="000000"/>
              </w:rPr>
            </w:pPr>
          </w:p>
        </w:tc>
      </w:tr>
    </w:tbl>
    <w:p w14:paraId="39A4E675">
      <w:pPr>
        <w:pStyle w:val="2"/>
        <w:spacing w:line="240" w:lineRule="exact"/>
        <w:ind w:firstLine="640"/>
        <w:rPr>
          <w:rFonts w:ascii="Times New Roman" w:hAnsi="Times New Roman"/>
          <w:color w:val="000000"/>
          <w:u w:color="000000"/>
          <w:lang w:val="en-US"/>
        </w:rPr>
      </w:pPr>
      <w:bookmarkStart w:id="112" w:name="_Toc1"/>
      <w:bookmarkStart w:id="113" w:name="_Toc70665263"/>
    </w:p>
    <w:p w14:paraId="0629E795">
      <w:pPr>
        <w:pStyle w:val="2"/>
        <w:ind w:firstLine="640"/>
        <w:rPr>
          <w:rFonts w:ascii="Times New Roman" w:hAnsi="Times New Roman"/>
          <w:color w:val="000000"/>
          <w:u w:color="000000"/>
          <w:lang w:val="en-US"/>
        </w:rPr>
      </w:pPr>
      <w:bookmarkStart w:id="114" w:name="_Toc17412"/>
      <w:r>
        <w:rPr>
          <w:rFonts w:ascii="Times New Roman" w:hAnsi="Times New Roman"/>
          <w:color w:val="000000"/>
          <w:u w:color="000000"/>
          <w:lang w:val="en-US"/>
        </w:rPr>
        <w:t>7本机构投融资对环境产生的影响</w:t>
      </w:r>
      <w:bookmarkEnd w:id="112"/>
      <w:bookmarkEnd w:id="113"/>
      <w:bookmarkEnd w:id="114"/>
    </w:p>
    <w:p w14:paraId="10A5E0C6">
      <w:pPr>
        <w:pStyle w:val="40"/>
        <w:ind w:firstLine="643"/>
        <w:rPr>
          <w:rFonts w:ascii="Times New Roman" w:hAnsi="Times New Roman"/>
        </w:rPr>
      </w:pPr>
      <w:bookmarkStart w:id="115" w:name="_Toc70665264"/>
      <w:bookmarkStart w:id="116" w:name="_Toc13674"/>
      <w:bookmarkStart w:id="117" w:name="_Toc42012346"/>
      <w:r>
        <w:rPr>
          <w:rFonts w:ascii="Times New Roman" w:hAnsi="Times New Roman"/>
        </w:rPr>
        <w:t>7.1本机构投融资所产生的环境影响</w:t>
      </w:r>
      <w:bookmarkEnd w:id="115"/>
      <w:bookmarkEnd w:id="116"/>
      <w:bookmarkEnd w:id="117"/>
    </w:p>
    <w:p w14:paraId="46ACD4C3">
      <w:pPr>
        <w:spacing w:line="560" w:lineRule="exact"/>
        <w:ind w:firstLine="640" w:firstLineChars="200"/>
        <w:rPr>
          <w:rFonts w:eastAsia="仿宋_GB2312"/>
          <w:color w:val="000000"/>
          <w:sz w:val="32"/>
          <w:szCs w:val="32"/>
          <w:highlight w:val="none"/>
          <w:u w:color="000000"/>
          <w:lang w:val="zh-TW"/>
        </w:rPr>
      </w:pPr>
      <w:r>
        <w:rPr>
          <w:rFonts w:eastAsia="仿宋_GB2312"/>
          <w:sz w:val="32"/>
          <w:szCs w:val="32"/>
          <w:u w:color="000000"/>
          <w:lang w:val="zh-TW"/>
        </w:rPr>
        <w:t>按照</w:t>
      </w:r>
      <w:r>
        <w:rPr>
          <w:rFonts w:hint="eastAsia" w:eastAsia="仿宋_GB2312"/>
          <w:sz w:val="32"/>
          <w:szCs w:val="32"/>
          <w:u w:color="000000"/>
        </w:rPr>
        <w:t>人行绿色信贷</w:t>
      </w:r>
      <w:r>
        <w:rPr>
          <w:rFonts w:eastAsia="仿宋_GB2312"/>
          <w:sz w:val="32"/>
          <w:szCs w:val="32"/>
          <w:u w:color="000000"/>
          <w:lang w:val="zh-TW"/>
        </w:rPr>
        <w:t>统计口径,</w:t>
      </w:r>
      <w:r>
        <w:rPr>
          <w:rFonts w:hint="eastAsia" w:eastAsia="仿宋_GB2312"/>
          <w:sz w:val="32"/>
          <w:szCs w:val="32"/>
          <w:u w:color="000000"/>
          <w:lang w:val="zh-TW"/>
        </w:rPr>
        <w:t>截至2024年末，</w:t>
      </w:r>
      <w:r>
        <w:rPr>
          <w:rFonts w:hint="eastAsia" w:eastAsia="仿宋_GB2312"/>
          <w:sz w:val="32"/>
          <w:szCs w:val="32"/>
          <w:u w:color="000000"/>
        </w:rPr>
        <w:t>本行</w:t>
      </w:r>
      <w:r>
        <w:rPr>
          <w:rFonts w:hint="eastAsia" w:eastAsia="仿宋_GB2312"/>
          <w:sz w:val="32"/>
          <w:szCs w:val="32"/>
          <w:u w:color="000000"/>
          <w:lang w:val="zh-TW"/>
        </w:rPr>
        <w:t>绿色信贷</w:t>
      </w:r>
      <w:r>
        <w:rPr>
          <w:rFonts w:hint="eastAsia" w:eastAsia="仿宋_GB2312"/>
          <w:sz w:val="32"/>
          <w:szCs w:val="32"/>
          <w:u w:color="000000"/>
        </w:rPr>
        <w:t>余额162.71</w:t>
      </w:r>
      <w:r>
        <w:rPr>
          <w:rFonts w:hint="eastAsia" w:eastAsia="仿宋_GB2312"/>
          <w:sz w:val="32"/>
          <w:szCs w:val="32"/>
          <w:u w:color="000000"/>
          <w:lang w:val="zh-TW"/>
        </w:rPr>
        <w:t>亿元，较年初新增</w:t>
      </w:r>
      <w:r>
        <w:rPr>
          <w:rFonts w:hint="eastAsia" w:ascii="仿宋_GB2312" w:eastAsia="仿宋_GB2312"/>
          <w:sz w:val="32"/>
          <w:szCs w:val="32"/>
        </w:rPr>
        <w:t>19.96</w:t>
      </w:r>
      <w:r>
        <w:rPr>
          <w:rFonts w:hint="eastAsia" w:eastAsia="仿宋_GB2312"/>
          <w:sz w:val="32"/>
          <w:szCs w:val="32"/>
          <w:u w:color="000000"/>
          <w:lang w:val="zh-TW"/>
        </w:rPr>
        <w:t>亿元，占比所有贷款33.0</w:t>
      </w:r>
      <w:r>
        <w:rPr>
          <w:rFonts w:hint="eastAsia" w:eastAsia="仿宋_GB2312"/>
          <w:sz w:val="32"/>
          <w:szCs w:val="32"/>
          <w:u w:color="000000"/>
        </w:rPr>
        <w:t>1</w:t>
      </w:r>
      <w:r>
        <w:rPr>
          <w:rFonts w:hint="eastAsia" w:eastAsia="仿宋_GB2312"/>
          <w:sz w:val="32"/>
          <w:szCs w:val="32"/>
          <w:u w:color="000000"/>
          <w:lang w:val="zh-TW"/>
        </w:rPr>
        <w:t>%；投放的绿色信贷累计实现节约标煤</w:t>
      </w:r>
      <w:r>
        <w:rPr>
          <w:rFonts w:hint="eastAsia" w:eastAsia="仿宋_GB2312"/>
          <w:sz w:val="32"/>
          <w:szCs w:val="32"/>
          <w:highlight w:val="none"/>
          <w:u w:color="000000"/>
          <w:lang w:val="zh-TW"/>
        </w:rPr>
        <w:t>量约59.83万吨，减少二氧化碳排放量约40.38万吨。</w:t>
      </w:r>
    </w:p>
    <w:p w14:paraId="6F6B0598">
      <w:pPr>
        <w:pStyle w:val="40"/>
        <w:ind w:firstLine="643"/>
        <w:rPr>
          <w:rFonts w:ascii="Times New Roman" w:hAnsi="Times New Roman"/>
        </w:rPr>
      </w:pPr>
      <w:bookmarkStart w:id="118" w:name="_Toc921"/>
      <w:bookmarkStart w:id="119" w:name="_Toc70665265"/>
      <w:bookmarkStart w:id="120" w:name="_Toc42012347"/>
      <w:r>
        <w:rPr>
          <w:rFonts w:ascii="Times New Roman" w:hAnsi="Times New Roman"/>
        </w:rPr>
        <w:t>7.2本机构投融资环境影响的测算与表达</w:t>
      </w:r>
      <w:bookmarkEnd w:id="118"/>
      <w:bookmarkEnd w:id="119"/>
      <w:bookmarkEnd w:id="120"/>
    </w:p>
    <w:p w14:paraId="77C2805E">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本行引进第三方专业</w:t>
      </w:r>
      <w:r>
        <w:rPr>
          <w:rFonts w:hint="eastAsia" w:eastAsia="仿宋_GB2312"/>
          <w:sz w:val="32"/>
          <w:szCs w:val="32"/>
          <w:u w:color="000000"/>
        </w:rPr>
        <w:t>机</w:t>
      </w:r>
      <w:r>
        <w:rPr>
          <w:rFonts w:hint="eastAsia" w:ascii="仿宋_GB2312" w:hAnsi="仿宋_GB2312" w:eastAsia="仿宋_GB2312" w:cs="仿宋_GB2312"/>
          <w:sz w:val="32"/>
          <w:szCs w:val="32"/>
          <w:u w:color="000000"/>
        </w:rPr>
        <w:t>构</w:t>
      </w:r>
      <w:r>
        <w:rPr>
          <w:rFonts w:ascii="仿宋_GB2312" w:hAnsi="仿宋_GB2312" w:eastAsia="仿宋_GB2312" w:cs="仿宋_GB2312"/>
          <w:sz w:val="32"/>
          <w:szCs w:val="32"/>
          <w:u w:color="000000"/>
          <w:lang w:val="zh-TW"/>
        </w:rPr>
        <w:t>开展“绿色普惠银行”管理项目，建设小法人银行绿色普惠金融评价与服务的标准化体系，其中绿色信贷环境效益评估体系，在能源效应计算大框架前提下结合地方实际特色设计，能科学评估计量每一笔绿色信贷投放产生的节能量、固碳量等环境效益，使本机构绿色普惠金融推动地方经济绿色发展的作用实现可视化、可量化</w:t>
      </w:r>
      <w:r>
        <w:rPr>
          <w:rFonts w:eastAsia="仿宋_GB2312"/>
          <w:sz w:val="32"/>
          <w:szCs w:val="32"/>
          <w:u w:color="000000"/>
          <w:lang w:val="zh-TW"/>
        </w:rPr>
        <w:t>、可信化。</w:t>
      </w:r>
      <w:bookmarkEnd w:id="95"/>
      <w:bookmarkEnd w:id="96"/>
    </w:p>
    <w:p w14:paraId="7BC38291">
      <w:pPr>
        <w:pStyle w:val="27"/>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表4. 金融机构投融资对环境产生的影响</w:t>
      </w:r>
    </w:p>
    <w:tbl>
      <w:tblPr>
        <w:tblStyle w:val="20"/>
        <w:tblW w:w="8325" w:type="dxa"/>
        <w:tblInd w:w="288" w:type="dxa"/>
        <w:tblLayout w:type="fixed"/>
        <w:tblCellMar>
          <w:top w:w="0" w:type="dxa"/>
          <w:left w:w="108" w:type="dxa"/>
          <w:bottom w:w="0" w:type="dxa"/>
          <w:right w:w="108" w:type="dxa"/>
        </w:tblCellMar>
      </w:tblPr>
      <w:tblGrid>
        <w:gridCol w:w="1893"/>
        <w:gridCol w:w="3086"/>
        <w:gridCol w:w="1282"/>
        <w:gridCol w:w="1204"/>
        <w:gridCol w:w="860"/>
      </w:tblGrid>
      <w:tr w14:paraId="6278C888">
        <w:tblPrEx>
          <w:tblCellMar>
            <w:top w:w="0" w:type="dxa"/>
            <w:left w:w="108" w:type="dxa"/>
            <w:bottom w:w="0" w:type="dxa"/>
            <w:right w:w="108" w:type="dxa"/>
          </w:tblCellMar>
        </w:tblPrEx>
        <w:trPr>
          <w:trHeight w:val="312" w:hRule="atLeast"/>
        </w:trPr>
        <w:tc>
          <w:tcPr>
            <w:tcW w:w="1893" w:type="dxa"/>
            <w:tcBorders>
              <w:top w:val="single" w:color="auto" w:sz="4" w:space="0"/>
              <w:left w:val="single" w:color="auto" w:sz="4" w:space="0"/>
              <w:bottom w:val="single" w:color="auto" w:sz="4" w:space="0"/>
              <w:right w:val="single" w:color="auto" w:sz="4" w:space="0"/>
            </w:tcBorders>
            <w:vAlign w:val="center"/>
          </w:tcPr>
          <w:p w14:paraId="1674EE96">
            <w:pPr>
              <w:widowControl/>
              <w:jc w:val="center"/>
              <w:rPr>
                <w:b/>
                <w:bCs/>
                <w:kern w:val="0"/>
                <w:szCs w:val="21"/>
              </w:rPr>
            </w:pPr>
            <w:r>
              <w:rPr>
                <w:b/>
                <w:bCs/>
                <w:kern w:val="0"/>
                <w:szCs w:val="21"/>
                <w:lang w:eastAsia="zh-TW"/>
              </w:rPr>
              <w:t>指标名称</w:t>
            </w:r>
          </w:p>
        </w:tc>
        <w:tc>
          <w:tcPr>
            <w:tcW w:w="3086" w:type="dxa"/>
            <w:tcBorders>
              <w:top w:val="single" w:color="auto" w:sz="4" w:space="0"/>
              <w:left w:val="nil"/>
              <w:bottom w:val="single" w:color="auto" w:sz="4" w:space="0"/>
              <w:right w:val="single" w:color="auto" w:sz="4" w:space="0"/>
            </w:tcBorders>
            <w:vAlign w:val="center"/>
          </w:tcPr>
          <w:p w14:paraId="1EF1B85A">
            <w:pPr>
              <w:widowControl/>
              <w:jc w:val="center"/>
              <w:rPr>
                <w:b/>
                <w:bCs/>
                <w:kern w:val="0"/>
                <w:szCs w:val="21"/>
              </w:rPr>
            </w:pPr>
            <w:r>
              <w:rPr>
                <w:b/>
                <w:bCs/>
                <w:kern w:val="0"/>
                <w:szCs w:val="21"/>
                <w:lang w:eastAsia="zh-TW"/>
              </w:rPr>
              <w:t>披露细项</w:t>
            </w:r>
          </w:p>
        </w:tc>
        <w:tc>
          <w:tcPr>
            <w:tcW w:w="1282" w:type="dxa"/>
            <w:tcBorders>
              <w:top w:val="single" w:color="auto" w:sz="4" w:space="0"/>
              <w:left w:val="nil"/>
              <w:bottom w:val="single" w:color="auto" w:sz="4" w:space="0"/>
              <w:right w:val="single" w:color="auto" w:sz="4" w:space="0"/>
            </w:tcBorders>
            <w:vAlign w:val="center"/>
          </w:tcPr>
          <w:p w14:paraId="3A3A0F97">
            <w:pPr>
              <w:widowControl/>
              <w:jc w:val="center"/>
              <w:rPr>
                <w:b/>
                <w:bCs/>
                <w:kern w:val="0"/>
                <w:szCs w:val="21"/>
              </w:rPr>
            </w:pPr>
            <w:r>
              <w:rPr>
                <w:b/>
                <w:bCs/>
                <w:kern w:val="0"/>
                <w:szCs w:val="21"/>
              </w:rPr>
              <w:t>披露数据</w:t>
            </w:r>
            <w:r>
              <w:rPr>
                <w:b/>
                <w:szCs w:val="22"/>
                <w:lang w:val="zh-TW"/>
              </w:rPr>
              <w:t>（人民银行口径）</w:t>
            </w:r>
          </w:p>
        </w:tc>
        <w:tc>
          <w:tcPr>
            <w:tcW w:w="1204" w:type="dxa"/>
            <w:tcBorders>
              <w:top w:val="single" w:color="auto" w:sz="4" w:space="0"/>
              <w:left w:val="nil"/>
              <w:bottom w:val="single" w:color="auto" w:sz="4" w:space="0"/>
              <w:right w:val="single" w:color="auto" w:sz="4" w:space="0"/>
            </w:tcBorders>
            <w:vAlign w:val="center"/>
          </w:tcPr>
          <w:p w14:paraId="6074E4DA">
            <w:pPr>
              <w:widowControl/>
              <w:jc w:val="center"/>
              <w:rPr>
                <w:b/>
                <w:bCs/>
                <w:kern w:val="0"/>
                <w:szCs w:val="21"/>
              </w:rPr>
            </w:pPr>
            <w:r>
              <w:rPr>
                <w:b/>
                <w:bCs/>
                <w:kern w:val="0"/>
                <w:szCs w:val="21"/>
              </w:rPr>
              <w:t>披露数据</w:t>
            </w:r>
            <w:r>
              <w:rPr>
                <w:b/>
                <w:szCs w:val="22"/>
                <w:lang w:val="zh-TW"/>
              </w:rPr>
              <w:t>（银保监口径）</w:t>
            </w:r>
          </w:p>
        </w:tc>
        <w:tc>
          <w:tcPr>
            <w:tcW w:w="860" w:type="dxa"/>
            <w:tcBorders>
              <w:top w:val="single" w:color="auto" w:sz="4" w:space="0"/>
              <w:left w:val="nil"/>
              <w:bottom w:val="single" w:color="auto" w:sz="4" w:space="0"/>
              <w:right w:val="single" w:color="auto" w:sz="4" w:space="0"/>
            </w:tcBorders>
          </w:tcPr>
          <w:p w14:paraId="7F7C6698">
            <w:pPr>
              <w:widowControl/>
              <w:jc w:val="center"/>
              <w:rPr>
                <w:b/>
                <w:bCs/>
                <w:kern w:val="0"/>
                <w:szCs w:val="21"/>
              </w:rPr>
            </w:pPr>
            <w:r>
              <w:rPr>
                <w:b/>
                <w:bCs/>
                <w:kern w:val="0"/>
                <w:szCs w:val="21"/>
                <w:lang w:eastAsia="zh-TW"/>
              </w:rPr>
              <w:t>备注</w:t>
            </w:r>
          </w:p>
        </w:tc>
      </w:tr>
      <w:tr w14:paraId="7E98C821">
        <w:tblPrEx>
          <w:tblCellMar>
            <w:top w:w="0" w:type="dxa"/>
            <w:left w:w="108" w:type="dxa"/>
            <w:bottom w:w="0" w:type="dxa"/>
            <w:right w:w="108" w:type="dxa"/>
          </w:tblCellMar>
        </w:tblPrEx>
        <w:trPr>
          <w:trHeight w:val="312" w:hRule="atLeast"/>
        </w:trPr>
        <w:tc>
          <w:tcPr>
            <w:tcW w:w="1893" w:type="dxa"/>
            <w:vMerge w:val="restart"/>
            <w:tcBorders>
              <w:top w:val="nil"/>
              <w:left w:val="single" w:color="auto" w:sz="4" w:space="0"/>
              <w:bottom w:val="single" w:color="auto" w:sz="4" w:space="0"/>
              <w:right w:val="single" w:color="auto" w:sz="4" w:space="0"/>
            </w:tcBorders>
            <w:vAlign w:val="center"/>
          </w:tcPr>
          <w:p w14:paraId="4EB1F83A">
            <w:pPr>
              <w:widowControl/>
              <w:jc w:val="left"/>
              <w:rPr>
                <w:kern w:val="0"/>
                <w:szCs w:val="21"/>
              </w:rPr>
            </w:pPr>
            <w:r>
              <w:rPr>
                <w:kern w:val="0"/>
                <w:szCs w:val="21"/>
                <w:lang w:eastAsia="zh-TW"/>
              </w:rPr>
              <w:t>绿色信贷余额及占比</w:t>
            </w:r>
          </w:p>
        </w:tc>
        <w:tc>
          <w:tcPr>
            <w:tcW w:w="3086" w:type="dxa"/>
            <w:tcBorders>
              <w:top w:val="nil"/>
              <w:left w:val="nil"/>
              <w:bottom w:val="single" w:color="auto" w:sz="4" w:space="0"/>
              <w:right w:val="single" w:color="auto" w:sz="4" w:space="0"/>
            </w:tcBorders>
            <w:vAlign w:val="center"/>
          </w:tcPr>
          <w:p w14:paraId="1C8C955A">
            <w:pPr>
              <w:widowControl/>
              <w:jc w:val="left"/>
              <w:rPr>
                <w:kern w:val="0"/>
                <w:szCs w:val="21"/>
              </w:rPr>
            </w:pPr>
            <w:r>
              <w:rPr>
                <w:kern w:val="0"/>
                <w:szCs w:val="21"/>
                <w:lang w:eastAsia="zh-TW"/>
              </w:rPr>
              <w:t>绿色信贷余额（万元）</w:t>
            </w:r>
          </w:p>
        </w:tc>
        <w:tc>
          <w:tcPr>
            <w:tcW w:w="1282" w:type="dxa"/>
            <w:tcBorders>
              <w:top w:val="nil"/>
              <w:left w:val="nil"/>
              <w:bottom w:val="single" w:color="auto" w:sz="4" w:space="0"/>
              <w:right w:val="single" w:color="auto" w:sz="4" w:space="0"/>
            </w:tcBorders>
          </w:tcPr>
          <w:p w14:paraId="584A4DB9">
            <w:pPr>
              <w:jc w:val="center"/>
              <w:rPr>
                <w:szCs w:val="21"/>
              </w:rPr>
            </w:pPr>
            <w:r>
              <w:rPr>
                <w:rFonts w:hint="eastAsia"/>
                <w:kern w:val="0"/>
                <w:szCs w:val="21"/>
              </w:rPr>
              <w:t>1627118</w:t>
            </w:r>
          </w:p>
        </w:tc>
        <w:tc>
          <w:tcPr>
            <w:tcW w:w="1204" w:type="dxa"/>
            <w:tcBorders>
              <w:top w:val="nil"/>
              <w:left w:val="nil"/>
              <w:bottom w:val="single" w:color="auto" w:sz="4" w:space="0"/>
              <w:right w:val="single" w:color="auto" w:sz="4" w:space="0"/>
            </w:tcBorders>
          </w:tcPr>
          <w:p w14:paraId="35949C9B">
            <w:pPr>
              <w:jc w:val="center"/>
              <w:rPr>
                <w:szCs w:val="21"/>
              </w:rPr>
            </w:pPr>
            <w:r>
              <w:rPr>
                <w:rFonts w:hint="eastAsia"/>
                <w:kern w:val="0"/>
                <w:szCs w:val="21"/>
              </w:rPr>
              <w:t>1630422</w:t>
            </w:r>
          </w:p>
        </w:tc>
        <w:tc>
          <w:tcPr>
            <w:tcW w:w="860" w:type="dxa"/>
            <w:tcBorders>
              <w:top w:val="nil"/>
              <w:left w:val="nil"/>
              <w:bottom w:val="single" w:color="auto" w:sz="4" w:space="0"/>
              <w:right w:val="single" w:color="auto" w:sz="4" w:space="0"/>
            </w:tcBorders>
          </w:tcPr>
          <w:p w14:paraId="2148BD74">
            <w:pPr>
              <w:widowControl/>
              <w:jc w:val="center"/>
              <w:rPr>
                <w:color w:val="0000FF"/>
                <w:kern w:val="0"/>
                <w:szCs w:val="21"/>
              </w:rPr>
            </w:pPr>
          </w:p>
        </w:tc>
      </w:tr>
      <w:tr w14:paraId="2D12A8F5">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464294A5">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034D651F">
            <w:pPr>
              <w:widowControl/>
              <w:jc w:val="left"/>
              <w:rPr>
                <w:kern w:val="0"/>
                <w:szCs w:val="21"/>
              </w:rPr>
            </w:pPr>
            <w:r>
              <w:rPr>
                <w:kern w:val="0"/>
                <w:szCs w:val="21"/>
              </w:rPr>
              <w:t>各项贷款余额（万元）</w:t>
            </w:r>
          </w:p>
        </w:tc>
        <w:tc>
          <w:tcPr>
            <w:tcW w:w="1282" w:type="dxa"/>
            <w:tcBorders>
              <w:top w:val="nil"/>
              <w:left w:val="nil"/>
              <w:bottom w:val="single" w:color="auto" w:sz="4" w:space="0"/>
              <w:right w:val="single" w:color="auto" w:sz="4" w:space="0"/>
            </w:tcBorders>
          </w:tcPr>
          <w:p w14:paraId="4B2D0E4F">
            <w:pPr>
              <w:jc w:val="center"/>
              <w:rPr>
                <w:szCs w:val="21"/>
              </w:rPr>
            </w:pPr>
            <w:r>
              <w:rPr>
                <w:rFonts w:hint="eastAsia"/>
                <w:kern w:val="0"/>
                <w:szCs w:val="21"/>
              </w:rPr>
              <w:t>4929054</w:t>
            </w:r>
          </w:p>
        </w:tc>
        <w:tc>
          <w:tcPr>
            <w:tcW w:w="1204" w:type="dxa"/>
            <w:tcBorders>
              <w:top w:val="nil"/>
              <w:left w:val="nil"/>
              <w:bottom w:val="single" w:color="auto" w:sz="4" w:space="0"/>
              <w:right w:val="single" w:color="auto" w:sz="4" w:space="0"/>
            </w:tcBorders>
          </w:tcPr>
          <w:p w14:paraId="1A8AC173">
            <w:pPr>
              <w:jc w:val="center"/>
              <w:rPr>
                <w:szCs w:val="21"/>
              </w:rPr>
            </w:pPr>
            <w:r>
              <w:rPr>
                <w:rFonts w:hint="eastAsia"/>
                <w:kern w:val="0"/>
                <w:szCs w:val="21"/>
              </w:rPr>
              <w:t>4929054</w:t>
            </w:r>
          </w:p>
        </w:tc>
        <w:tc>
          <w:tcPr>
            <w:tcW w:w="860" w:type="dxa"/>
            <w:tcBorders>
              <w:top w:val="nil"/>
              <w:left w:val="nil"/>
              <w:bottom w:val="single" w:color="auto" w:sz="4" w:space="0"/>
              <w:right w:val="single" w:color="auto" w:sz="4" w:space="0"/>
            </w:tcBorders>
          </w:tcPr>
          <w:p w14:paraId="582C0D9A">
            <w:pPr>
              <w:widowControl/>
              <w:jc w:val="center"/>
              <w:rPr>
                <w:color w:val="0000FF"/>
                <w:kern w:val="0"/>
                <w:szCs w:val="21"/>
              </w:rPr>
            </w:pPr>
          </w:p>
        </w:tc>
      </w:tr>
      <w:tr w14:paraId="7DEF665A">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3FE89AF1">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598CE485">
            <w:pPr>
              <w:widowControl/>
              <w:jc w:val="left"/>
              <w:rPr>
                <w:kern w:val="0"/>
                <w:szCs w:val="21"/>
              </w:rPr>
            </w:pPr>
            <w:r>
              <w:rPr>
                <w:kern w:val="0"/>
                <w:szCs w:val="21"/>
                <w:lang w:eastAsia="zh-TW"/>
              </w:rPr>
              <w:t>绿色信贷占比（%）</w:t>
            </w:r>
          </w:p>
        </w:tc>
        <w:tc>
          <w:tcPr>
            <w:tcW w:w="1282" w:type="dxa"/>
            <w:tcBorders>
              <w:top w:val="nil"/>
              <w:left w:val="nil"/>
              <w:bottom w:val="single" w:color="auto" w:sz="4" w:space="0"/>
              <w:right w:val="single" w:color="auto" w:sz="4" w:space="0"/>
            </w:tcBorders>
          </w:tcPr>
          <w:p w14:paraId="0D279B69">
            <w:pPr>
              <w:jc w:val="center"/>
              <w:rPr>
                <w:kern w:val="0"/>
                <w:szCs w:val="21"/>
              </w:rPr>
            </w:pPr>
            <w:r>
              <w:rPr>
                <w:rFonts w:hint="eastAsia"/>
                <w:kern w:val="0"/>
                <w:szCs w:val="21"/>
              </w:rPr>
              <w:t>33.01</w:t>
            </w:r>
          </w:p>
        </w:tc>
        <w:tc>
          <w:tcPr>
            <w:tcW w:w="1204" w:type="dxa"/>
            <w:tcBorders>
              <w:top w:val="nil"/>
              <w:left w:val="nil"/>
              <w:bottom w:val="single" w:color="auto" w:sz="4" w:space="0"/>
              <w:right w:val="single" w:color="auto" w:sz="4" w:space="0"/>
            </w:tcBorders>
          </w:tcPr>
          <w:p w14:paraId="4381BD7F">
            <w:pPr>
              <w:jc w:val="center"/>
              <w:rPr>
                <w:kern w:val="0"/>
                <w:szCs w:val="21"/>
              </w:rPr>
            </w:pPr>
            <w:r>
              <w:rPr>
                <w:rFonts w:hint="eastAsia"/>
                <w:kern w:val="0"/>
                <w:szCs w:val="21"/>
              </w:rPr>
              <w:t>33.08</w:t>
            </w:r>
          </w:p>
        </w:tc>
        <w:tc>
          <w:tcPr>
            <w:tcW w:w="860" w:type="dxa"/>
            <w:tcBorders>
              <w:top w:val="nil"/>
              <w:left w:val="nil"/>
              <w:bottom w:val="single" w:color="auto" w:sz="4" w:space="0"/>
              <w:right w:val="single" w:color="auto" w:sz="4" w:space="0"/>
            </w:tcBorders>
          </w:tcPr>
          <w:p w14:paraId="634F8D5F">
            <w:pPr>
              <w:widowControl/>
              <w:jc w:val="center"/>
              <w:rPr>
                <w:color w:val="0000FF"/>
                <w:kern w:val="0"/>
                <w:szCs w:val="21"/>
              </w:rPr>
            </w:pPr>
          </w:p>
        </w:tc>
      </w:tr>
      <w:tr w14:paraId="7AF02ED2">
        <w:tblPrEx>
          <w:tblCellMar>
            <w:top w:w="0" w:type="dxa"/>
            <w:left w:w="108" w:type="dxa"/>
            <w:bottom w:w="0" w:type="dxa"/>
            <w:right w:w="108" w:type="dxa"/>
          </w:tblCellMar>
        </w:tblPrEx>
        <w:trPr>
          <w:trHeight w:val="312" w:hRule="atLeast"/>
        </w:trPr>
        <w:tc>
          <w:tcPr>
            <w:tcW w:w="1893" w:type="dxa"/>
            <w:vMerge w:val="restart"/>
            <w:tcBorders>
              <w:top w:val="nil"/>
              <w:left w:val="single" w:color="auto" w:sz="4" w:space="0"/>
              <w:bottom w:val="single" w:color="auto" w:sz="4" w:space="0"/>
              <w:right w:val="single" w:color="auto" w:sz="4" w:space="0"/>
            </w:tcBorders>
            <w:vAlign w:val="center"/>
          </w:tcPr>
          <w:p w14:paraId="643679AA">
            <w:pPr>
              <w:widowControl/>
              <w:jc w:val="left"/>
              <w:rPr>
                <w:kern w:val="0"/>
                <w:szCs w:val="21"/>
              </w:rPr>
            </w:pPr>
            <w:r>
              <w:rPr>
                <w:kern w:val="0"/>
                <w:szCs w:val="21"/>
                <w:lang w:eastAsia="zh-TW"/>
              </w:rPr>
              <w:t>绿色信贷金额变动折合减排情况</w:t>
            </w:r>
          </w:p>
        </w:tc>
        <w:tc>
          <w:tcPr>
            <w:tcW w:w="3086" w:type="dxa"/>
            <w:tcBorders>
              <w:top w:val="nil"/>
              <w:left w:val="nil"/>
              <w:bottom w:val="single" w:color="auto" w:sz="4" w:space="0"/>
              <w:right w:val="single" w:color="auto" w:sz="4" w:space="0"/>
            </w:tcBorders>
            <w:vAlign w:val="center"/>
          </w:tcPr>
          <w:p w14:paraId="18E6490D">
            <w:pPr>
              <w:widowControl/>
              <w:jc w:val="left"/>
              <w:rPr>
                <w:kern w:val="0"/>
                <w:szCs w:val="21"/>
              </w:rPr>
            </w:pPr>
            <w:r>
              <w:rPr>
                <w:kern w:val="0"/>
                <w:szCs w:val="21"/>
                <w:lang w:eastAsia="zh-TW"/>
              </w:rPr>
              <w:t>折合减排标准煤（吨）</w:t>
            </w:r>
          </w:p>
        </w:tc>
        <w:tc>
          <w:tcPr>
            <w:tcW w:w="1282" w:type="dxa"/>
            <w:tcBorders>
              <w:top w:val="nil"/>
              <w:left w:val="nil"/>
              <w:bottom w:val="single" w:color="auto" w:sz="4" w:space="0"/>
              <w:right w:val="single" w:color="auto" w:sz="4" w:space="0"/>
            </w:tcBorders>
          </w:tcPr>
          <w:p w14:paraId="558D267A">
            <w:pPr>
              <w:jc w:val="center"/>
              <w:rPr>
                <w:kern w:val="0"/>
                <w:szCs w:val="21"/>
              </w:rPr>
            </w:pPr>
            <w:r>
              <w:rPr>
                <w:rFonts w:hint="eastAsia"/>
                <w:kern w:val="0"/>
                <w:szCs w:val="21"/>
              </w:rPr>
              <w:t>189154.09</w:t>
            </w:r>
          </w:p>
        </w:tc>
        <w:tc>
          <w:tcPr>
            <w:tcW w:w="1204" w:type="dxa"/>
            <w:tcBorders>
              <w:top w:val="nil"/>
              <w:left w:val="nil"/>
              <w:bottom w:val="single" w:color="auto" w:sz="4" w:space="0"/>
              <w:right w:val="single" w:color="auto" w:sz="4" w:space="0"/>
            </w:tcBorders>
          </w:tcPr>
          <w:p w14:paraId="2309FD59">
            <w:pPr>
              <w:jc w:val="center"/>
              <w:rPr>
                <w:color w:val="FF0000"/>
                <w:kern w:val="0"/>
                <w:szCs w:val="21"/>
              </w:rPr>
            </w:pPr>
            <w:r>
              <w:rPr>
                <w:rFonts w:hint="eastAsia"/>
                <w:kern w:val="0"/>
                <w:szCs w:val="21"/>
              </w:rPr>
              <w:t>189154.09</w:t>
            </w:r>
          </w:p>
        </w:tc>
        <w:tc>
          <w:tcPr>
            <w:tcW w:w="860" w:type="dxa"/>
            <w:tcBorders>
              <w:top w:val="nil"/>
              <w:left w:val="nil"/>
              <w:bottom w:val="single" w:color="auto" w:sz="4" w:space="0"/>
              <w:right w:val="single" w:color="auto" w:sz="4" w:space="0"/>
            </w:tcBorders>
          </w:tcPr>
          <w:p w14:paraId="51490FCE">
            <w:pPr>
              <w:widowControl/>
              <w:jc w:val="center"/>
              <w:rPr>
                <w:color w:val="0000FF"/>
                <w:kern w:val="0"/>
                <w:szCs w:val="21"/>
              </w:rPr>
            </w:pPr>
          </w:p>
        </w:tc>
      </w:tr>
      <w:tr w14:paraId="1258B2D5">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6B411816">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3B45F01D">
            <w:pPr>
              <w:widowControl/>
              <w:jc w:val="left"/>
              <w:rPr>
                <w:kern w:val="0"/>
                <w:szCs w:val="21"/>
              </w:rPr>
            </w:pPr>
            <w:r>
              <w:rPr>
                <w:kern w:val="0"/>
                <w:szCs w:val="21"/>
                <w:lang w:eastAsia="zh-TW"/>
              </w:rPr>
              <w:t>折合减排二氧化碳当量（吨）</w:t>
            </w:r>
          </w:p>
        </w:tc>
        <w:tc>
          <w:tcPr>
            <w:tcW w:w="1282" w:type="dxa"/>
            <w:tcBorders>
              <w:top w:val="nil"/>
              <w:left w:val="nil"/>
              <w:bottom w:val="single" w:color="auto" w:sz="4" w:space="0"/>
              <w:right w:val="single" w:color="auto" w:sz="4" w:space="0"/>
            </w:tcBorders>
          </w:tcPr>
          <w:p w14:paraId="05196693">
            <w:pPr>
              <w:jc w:val="center"/>
              <w:rPr>
                <w:kern w:val="0"/>
                <w:szCs w:val="21"/>
              </w:rPr>
            </w:pPr>
            <w:r>
              <w:rPr>
                <w:rFonts w:hint="eastAsia"/>
                <w:kern w:val="0"/>
                <w:szCs w:val="21"/>
              </w:rPr>
              <w:t>88049.35</w:t>
            </w:r>
          </w:p>
        </w:tc>
        <w:tc>
          <w:tcPr>
            <w:tcW w:w="1204" w:type="dxa"/>
            <w:tcBorders>
              <w:top w:val="nil"/>
              <w:left w:val="nil"/>
              <w:bottom w:val="single" w:color="auto" w:sz="4" w:space="0"/>
              <w:right w:val="single" w:color="auto" w:sz="4" w:space="0"/>
            </w:tcBorders>
          </w:tcPr>
          <w:p w14:paraId="3A80C74E">
            <w:pPr>
              <w:jc w:val="center"/>
              <w:rPr>
                <w:color w:val="FF0000"/>
                <w:kern w:val="0"/>
                <w:szCs w:val="21"/>
              </w:rPr>
            </w:pPr>
            <w:r>
              <w:rPr>
                <w:rFonts w:hint="eastAsia"/>
                <w:kern w:val="0"/>
                <w:szCs w:val="21"/>
              </w:rPr>
              <w:t>88049.35</w:t>
            </w:r>
          </w:p>
        </w:tc>
        <w:tc>
          <w:tcPr>
            <w:tcW w:w="860" w:type="dxa"/>
            <w:tcBorders>
              <w:top w:val="nil"/>
              <w:left w:val="nil"/>
              <w:bottom w:val="single" w:color="auto" w:sz="4" w:space="0"/>
              <w:right w:val="single" w:color="auto" w:sz="4" w:space="0"/>
            </w:tcBorders>
          </w:tcPr>
          <w:p w14:paraId="796AD41F">
            <w:pPr>
              <w:widowControl/>
              <w:jc w:val="center"/>
              <w:rPr>
                <w:color w:val="0000FF"/>
                <w:kern w:val="0"/>
                <w:szCs w:val="21"/>
              </w:rPr>
            </w:pPr>
          </w:p>
        </w:tc>
      </w:tr>
      <w:tr w14:paraId="7EB9B893">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6FD15BBC">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4DB92AA4">
            <w:pPr>
              <w:widowControl/>
              <w:jc w:val="left"/>
              <w:rPr>
                <w:kern w:val="0"/>
                <w:szCs w:val="21"/>
              </w:rPr>
            </w:pPr>
            <w:r>
              <w:rPr>
                <w:kern w:val="0"/>
                <w:szCs w:val="21"/>
                <w:lang w:eastAsia="zh-TW"/>
              </w:rPr>
              <w:t>折合减排化学需氧量（吨）</w:t>
            </w:r>
          </w:p>
        </w:tc>
        <w:tc>
          <w:tcPr>
            <w:tcW w:w="1282" w:type="dxa"/>
            <w:tcBorders>
              <w:top w:val="nil"/>
              <w:left w:val="nil"/>
              <w:bottom w:val="single" w:color="auto" w:sz="4" w:space="0"/>
              <w:right w:val="single" w:color="auto" w:sz="4" w:space="0"/>
            </w:tcBorders>
          </w:tcPr>
          <w:p w14:paraId="53A5AC6B">
            <w:pPr>
              <w:jc w:val="center"/>
              <w:rPr>
                <w:kern w:val="0"/>
                <w:szCs w:val="21"/>
              </w:rPr>
            </w:pPr>
            <w:r>
              <w:rPr>
                <w:kern w:val="0"/>
                <w:szCs w:val="21"/>
              </w:rPr>
              <w:t>0</w:t>
            </w:r>
          </w:p>
        </w:tc>
        <w:tc>
          <w:tcPr>
            <w:tcW w:w="1204" w:type="dxa"/>
            <w:tcBorders>
              <w:top w:val="nil"/>
              <w:left w:val="nil"/>
              <w:bottom w:val="single" w:color="auto" w:sz="4" w:space="0"/>
              <w:right w:val="single" w:color="auto" w:sz="4" w:space="0"/>
            </w:tcBorders>
          </w:tcPr>
          <w:p w14:paraId="15D472B8">
            <w:pPr>
              <w:jc w:val="center"/>
              <w:rPr>
                <w:color w:val="FF0000"/>
                <w:kern w:val="0"/>
                <w:szCs w:val="21"/>
              </w:rPr>
            </w:pPr>
            <w:r>
              <w:rPr>
                <w:kern w:val="0"/>
                <w:szCs w:val="21"/>
              </w:rPr>
              <w:t>0</w:t>
            </w:r>
          </w:p>
        </w:tc>
        <w:tc>
          <w:tcPr>
            <w:tcW w:w="860" w:type="dxa"/>
            <w:tcBorders>
              <w:top w:val="nil"/>
              <w:left w:val="nil"/>
              <w:bottom w:val="single" w:color="auto" w:sz="4" w:space="0"/>
              <w:right w:val="single" w:color="auto" w:sz="4" w:space="0"/>
            </w:tcBorders>
          </w:tcPr>
          <w:p w14:paraId="1241BB43">
            <w:pPr>
              <w:widowControl/>
              <w:jc w:val="center"/>
              <w:rPr>
                <w:color w:val="0000FF"/>
                <w:kern w:val="0"/>
                <w:szCs w:val="21"/>
              </w:rPr>
            </w:pPr>
          </w:p>
        </w:tc>
      </w:tr>
      <w:tr w14:paraId="3F4E6846">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35EAEB4B">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10517AE2">
            <w:pPr>
              <w:widowControl/>
              <w:jc w:val="left"/>
              <w:rPr>
                <w:kern w:val="0"/>
                <w:szCs w:val="21"/>
              </w:rPr>
            </w:pPr>
            <w:r>
              <w:rPr>
                <w:kern w:val="0"/>
                <w:szCs w:val="21"/>
                <w:lang w:eastAsia="zh-TW"/>
              </w:rPr>
              <w:t>折合减排氨氮（吨）</w:t>
            </w:r>
          </w:p>
        </w:tc>
        <w:tc>
          <w:tcPr>
            <w:tcW w:w="1282" w:type="dxa"/>
            <w:tcBorders>
              <w:top w:val="nil"/>
              <w:left w:val="nil"/>
              <w:bottom w:val="single" w:color="auto" w:sz="4" w:space="0"/>
              <w:right w:val="single" w:color="auto" w:sz="4" w:space="0"/>
            </w:tcBorders>
          </w:tcPr>
          <w:p w14:paraId="20E3F364">
            <w:pPr>
              <w:jc w:val="center"/>
              <w:rPr>
                <w:kern w:val="0"/>
                <w:szCs w:val="21"/>
              </w:rPr>
            </w:pPr>
            <w:r>
              <w:rPr>
                <w:kern w:val="0"/>
                <w:szCs w:val="21"/>
              </w:rPr>
              <w:t>0</w:t>
            </w:r>
          </w:p>
        </w:tc>
        <w:tc>
          <w:tcPr>
            <w:tcW w:w="1204" w:type="dxa"/>
            <w:tcBorders>
              <w:top w:val="nil"/>
              <w:left w:val="nil"/>
              <w:bottom w:val="single" w:color="auto" w:sz="4" w:space="0"/>
              <w:right w:val="single" w:color="auto" w:sz="4" w:space="0"/>
            </w:tcBorders>
          </w:tcPr>
          <w:p w14:paraId="63FCFB26">
            <w:pPr>
              <w:jc w:val="center"/>
              <w:rPr>
                <w:color w:val="FF0000"/>
                <w:kern w:val="0"/>
                <w:szCs w:val="21"/>
              </w:rPr>
            </w:pPr>
            <w:r>
              <w:rPr>
                <w:kern w:val="0"/>
                <w:szCs w:val="21"/>
              </w:rPr>
              <w:t>0</w:t>
            </w:r>
          </w:p>
        </w:tc>
        <w:tc>
          <w:tcPr>
            <w:tcW w:w="860" w:type="dxa"/>
            <w:tcBorders>
              <w:top w:val="nil"/>
              <w:left w:val="nil"/>
              <w:bottom w:val="single" w:color="auto" w:sz="4" w:space="0"/>
              <w:right w:val="single" w:color="auto" w:sz="4" w:space="0"/>
            </w:tcBorders>
          </w:tcPr>
          <w:p w14:paraId="7B3BC701">
            <w:pPr>
              <w:widowControl/>
              <w:jc w:val="center"/>
              <w:rPr>
                <w:color w:val="0000FF"/>
                <w:kern w:val="0"/>
                <w:szCs w:val="21"/>
              </w:rPr>
            </w:pPr>
          </w:p>
        </w:tc>
      </w:tr>
      <w:tr w14:paraId="4D701F29">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3E032976">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1A5A5A27">
            <w:pPr>
              <w:widowControl/>
              <w:jc w:val="left"/>
              <w:rPr>
                <w:kern w:val="0"/>
                <w:szCs w:val="21"/>
              </w:rPr>
            </w:pPr>
            <w:r>
              <w:rPr>
                <w:kern w:val="0"/>
                <w:szCs w:val="21"/>
                <w:lang w:eastAsia="zh-TW"/>
              </w:rPr>
              <w:t>折合减排二氧化硫（吨）</w:t>
            </w:r>
          </w:p>
        </w:tc>
        <w:tc>
          <w:tcPr>
            <w:tcW w:w="1282" w:type="dxa"/>
            <w:tcBorders>
              <w:top w:val="nil"/>
              <w:left w:val="nil"/>
              <w:bottom w:val="single" w:color="auto" w:sz="4" w:space="0"/>
              <w:right w:val="single" w:color="auto" w:sz="4" w:space="0"/>
            </w:tcBorders>
          </w:tcPr>
          <w:p w14:paraId="17414C2F">
            <w:pPr>
              <w:jc w:val="center"/>
              <w:rPr>
                <w:kern w:val="0"/>
                <w:szCs w:val="21"/>
              </w:rPr>
            </w:pPr>
            <w:r>
              <w:rPr>
                <w:rFonts w:hint="eastAsia"/>
                <w:kern w:val="0"/>
                <w:szCs w:val="21"/>
              </w:rPr>
              <w:t>0.096</w:t>
            </w:r>
          </w:p>
        </w:tc>
        <w:tc>
          <w:tcPr>
            <w:tcW w:w="1204" w:type="dxa"/>
            <w:tcBorders>
              <w:top w:val="nil"/>
              <w:left w:val="nil"/>
              <w:bottom w:val="single" w:color="auto" w:sz="4" w:space="0"/>
              <w:right w:val="single" w:color="auto" w:sz="4" w:space="0"/>
            </w:tcBorders>
          </w:tcPr>
          <w:p w14:paraId="3F145B86">
            <w:pPr>
              <w:jc w:val="center"/>
              <w:rPr>
                <w:color w:val="FF0000"/>
                <w:kern w:val="0"/>
                <w:szCs w:val="21"/>
              </w:rPr>
            </w:pPr>
            <w:r>
              <w:rPr>
                <w:rFonts w:hint="eastAsia"/>
                <w:kern w:val="0"/>
                <w:szCs w:val="21"/>
              </w:rPr>
              <w:t>0.096</w:t>
            </w:r>
          </w:p>
        </w:tc>
        <w:tc>
          <w:tcPr>
            <w:tcW w:w="860" w:type="dxa"/>
            <w:tcBorders>
              <w:top w:val="nil"/>
              <w:left w:val="nil"/>
              <w:bottom w:val="single" w:color="auto" w:sz="4" w:space="0"/>
              <w:right w:val="single" w:color="auto" w:sz="4" w:space="0"/>
            </w:tcBorders>
          </w:tcPr>
          <w:p w14:paraId="0B080338">
            <w:pPr>
              <w:widowControl/>
              <w:jc w:val="center"/>
              <w:rPr>
                <w:color w:val="0000FF"/>
                <w:kern w:val="0"/>
                <w:szCs w:val="21"/>
              </w:rPr>
            </w:pPr>
          </w:p>
        </w:tc>
      </w:tr>
      <w:tr w14:paraId="7F41C45C">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61683AFD">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76ABE69B">
            <w:pPr>
              <w:widowControl/>
              <w:jc w:val="left"/>
              <w:rPr>
                <w:kern w:val="0"/>
                <w:szCs w:val="21"/>
              </w:rPr>
            </w:pPr>
            <w:r>
              <w:rPr>
                <w:kern w:val="0"/>
                <w:szCs w:val="21"/>
                <w:lang w:eastAsia="zh-TW"/>
              </w:rPr>
              <w:t>折合减排氮氧化物（吨）</w:t>
            </w:r>
          </w:p>
        </w:tc>
        <w:tc>
          <w:tcPr>
            <w:tcW w:w="1282" w:type="dxa"/>
            <w:tcBorders>
              <w:top w:val="nil"/>
              <w:left w:val="nil"/>
              <w:bottom w:val="single" w:color="auto" w:sz="4" w:space="0"/>
              <w:right w:val="single" w:color="auto" w:sz="4" w:space="0"/>
            </w:tcBorders>
          </w:tcPr>
          <w:p w14:paraId="3BBABB53">
            <w:pPr>
              <w:jc w:val="center"/>
              <w:rPr>
                <w:kern w:val="0"/>
                <w:szCs w:val="21"/>
              </w:rPr>
            </w:pPr>
            <w:r>
              <w:rPr>
                <w:rFonts w:hint="eastAsia"/>
                <w:kern w:val="0"/>
                <w:szCs w:val="21"/>
              </w:rPr>
              <w:t>15.79</w:t>
            </w:r>
          </w:p>
        </w:tc>
        <w:tc>
          <w:tcPr>
            <w:tcW w:w="1204" w:type="dxa"/>
            <w:tcBorders>
              <w:top w:val="nil"/>
              <w:left w:val="nil"/>
              <w:bottom w:val="single" w:color="auto" w:sz="4" w:space="0"/>
              <w:right w:val="single" w:color="auto" w:sz="4" w:space="0"/>
            </w:tcBorders>
          </w:tcPr>
          <w:p w14:paraId="05B1321A">
            <w:pPr>
              <w:jc w:val="center"/>
              <w:rPr>
                <w:color w:val="FF0000"/>
                <w:kern w:val="0"/>
                <w:szCs w:val="21"/>
              </w:rPr>
            </w:pPr>
            <w:r>
              <w:rPr>
                <w:rFonts w:hint="eastAsia"/>
                <w:kern w:val="0"/>
                <w:szCs w:val="21"/>
              </w:rPr>
              <w:t>15.79</w:t>
            </w:r>
          </w:p>
        </w:tc>
        <w:tc>
          <w:tcPr>
            <w:tcW w:w="860" w:type="dxa"/>
            <w:tcBorders>
              <w:top w:val="nil"/>
              <w:left w:val="nil"/>
              <w:bottom w:val="single" w:color="auto" w:sz="4" w:space="0"/>
              <w:right w:val="single" w:color="auto" w:sz="4" w:space="0"/>
            </w:tcBorders>
          </w:tcPr>
          <w:p w14:paraId="79DBC5D7">
            <w:pPr>
              <w:widowControl/>
              <w:jc w:val="center"/>
              <w:rPr>
                <w:color w:val="0000FF"/>
                <w:kern w:val="0"/>
                <w:szCs w:val="21"/>
              </w:rPr>
            </w:pPr>
          </w:p>
        </w:tc>
      </w:tr>
      <w:tr w14:paraId="2A8B50FD">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14:paraId="1916F5FC">
            <w:pPr>
              <w:widowControl/>
              <w:jc w:val="left"/>
              <w:rPr>
                <w:kern w:val="0"/>
                <w:szCs w:val="21"/>
              </w:rPr>
            </w:pPr>
          </w:p>
        </w:tc>
        <w:tc>
          <w:tcPr>
            <w:tcW w:w="3086" w:type="dxa"/>
            <w:tcBorders>
              <w:top w:val="nil"/>
              <w:left w:val="nil"/>
              <w:bottom w:val="single" w:color="auto" w:sz="4" w:space="0"/>
              <w:right w:val="single" w:color="auto" w:sz="4" w:space="0"/>
            </w:tcBorders>
            <w:vAlign w:val="center"/>
          </w:tcPr>
          <w:p w14:paraId="20E78211">
            <w:pPr>
              <w:widowControl/>
              <w:jc w:val="left"/>
              <w:rPr>
                <w:kern w:val="0"/>
                <w:szCs w:val="21"/>
              </w:rPr>
            </w:pPr>
            <w:r>
              <w:rPr>
                <w:kern w:val="0"/>
                <w:szCs w:val="21"/>
                <w:lang w:eastAsia="zh-TW"/>
              </w:rPr>
              <w:t>折合节水（吨）</w:t>
            </w:r>
          </w:p>
        </w:tc>
        <w:tc>
          <w:tcPr>
            <w:tcW w:w="1282" w:type="dxa"/>
            <w:tcBorders>
              <w:top w:val="nil"/>
              <w:left w:val="nil"/>
              <w:bottom w:val="single" w:color="auto" w:sz="4" w:space="0"/>
              <w:right w:val="single" w:color="auto" w:sz="4" w:space="0"/>
            </w:tcBorders>
          </w:tcPr>
          <w:p w14:paraId="6C757E85">
            <w:pPr>
              <w:jc w:val="center"/>
              <w:rPr>
                <w:kern w:val="0"/>
                <w:szCs w:val="21"/>
              </w:rPr>
            </w:pPr>
            <w:r>
              <w:rPr>
                <w:kern w:val="0"/>
                <w:szCs w:val="21"/>
              </w:rPr>
              <w:t>0</w:t>
            </w:r>
          </w:p>
        </w:tc>
        <w:tc>
          <w:tcPr>
            <w:tcW w:w="1204" w:type="dxa"/>
            <w:tcBorders>
              <w:top w:val="nil"/>
              <w:left w:val="nil"/>
              <w:bottom w:val="single" w:color="auto" w:sz="4" w:space="0"/>
              <w:right w:val="single" w:color="auto" w:sz="4" w:space="0"/>
            </w:tcBorders>
          </w:tcPr>
          <w:p w14:paraId="7283A4EE">
            <w:pPr>
              <w:jc w:val="center"/>
              <w:rPr>
                <w:color w:val="FF0000"/>
                <w:kern w:val="0"/>
                <w:szCs w:val="21"/>
              </w:rPr>
            </w:pPr>
            <w:r>
              <w:rPr>
                <w:kern w:val="0"/>
                <w:szCs w:val="21"/>
              </w:rPr>
              <w:t>0</w:t>
            </w:r>
          </w:p>
        </w:tc>
        <w:tc>
          <w:tcPr>
            <w:tcW w:w="860" w:type="dxa"/>
            <w:tcBorders>
              <w:top w:val="nil"/>
              <w:left w:val="nil"/>
              <w:bottom w:val="single" w:color="auto" w:sz="4" w:space="0"/>
              <w:right w:val="single" w:color="auto" w:sz="4" w:space="0"/>
            </w:tcBorders>
          </w:tcPr>
          <w:p w14:paraId="3F5B3EF7">
            <w:pPr>
              <w:widowControl/>
              <w:jc w:val="center"/>
              <w:rPr>
                <w:color w:val="0000FF"/>
                <w:kern w:val="0"/>
                <w:szCs w:val="21"/>
              </w:rPr>
            </w:pPr>
          </w:p>
        </w:tc>
      </w:tr>
    </w:tbl>
    <w:p w14:paraId="3DAEC9C9">
      <w:pPr>
        <w:pStyle w:val="27"/>
        <w:tabs>
          <w:tab w:val="left" w:pos="949"/>
        </w:tabs>
        <w:spacing w:line="240" w:lineRule="exact"/>
        <w:jc w:val="center"/>
        <w:rPr>
          <w:rFonts w:eastAsia="宋体" w:cs="Times New Roman"/>
          <w:b/>
          <w:color w:val="auto"/>
          <w:szCs w:val="22"/>
        </w:rPr>
      </w:pPr>
    </w:p>
    <w:p w14:paraId="757FEF9F">
      <w:pPr>
        <w:pStyle w:val="40"/>
        <w:ind w:firstLine="643"/>
        <w:rPr>
          <w:rFonts w:ascii="Times New Roman" w:hAnsi="Times New Roman"/>
        </w:rPr>
      </w:pPr>
      <w:bookmarkStart w:id="121" w:name="_Toc70665266"/>
      <w:bookmarkStart w:id="122" w:name="_Toc14165"/>
      <w:r>
        <w:rPr>
          <w:rFonts w:ascii="Times New Roman" w:hAnsi="Times New Roman"/>
        </w:rPr>
        <w:t>7.3数据梳理、校验及保护</w:t>
      </w:r>
      <w:bookmarkEnd w:id="121"/>
      <w:bookmarkEnd w:id="122"/>
    </w:p>
    <w:p w14:paraId="48188B2A">
      <w:pPr>
        <w:pStyle w:val="40"/>
        <w:ind w:firstLine="643"/>
        <w:outlineLvl w:val="2"/>
        <w:rPr>
          <w:rFonts w:ascii="仿宋_GB2312" w:hAnsi="Times New Roman" w:eastAsia="仿宋_GB2312"/>
          <w:lang w:eastAsia="zh-CN"/>
        </w:rPr>
      </w:pPr>
      <w:bookmarkStart w:id="123" w:name="_Toc28921"/>
      <w:bookmarkStart w:id="124" w:name="_Toc42012349"/>
      <w:r>
        <w:rPr>
          <w:rFonts w:ascii="Times New Roman" w:hAnsi="Times New Roman"/>
          <w:lang w:eastAsia="zh-CN"/>
        </w:rPr>
        <w:t>7.3.1</w:t>
      </w:r>
      <w:r>
        <w:rPr>
          <w:rFonts w:hint="eastAsia" w:ascii="仿宋_GB2312" w:hAnsi="Times New Roman" w:eastAsia="仿宋_GB2312"/>
          <w:lang w:eastAsia="zh-CN"/>
        </w:rPr>
        <w:t>本机构绿色信贷统计数据质量开展情况</w:t>
      </w:r>
      <w:bookmarkEnd w:id="123"/>
      <w:bookmarkEnd w:id="124"/>
    </w:p>
    <w:p w14:paraId="709FB361">
      <w:pPr>
        <w:pStyle w:val="37"/>
        <w:spacing w:line="560" w:lineRule="exact"/>
        <w:ind w:left="0" w:firstLine="640" w:firstLineChars="200"/>
        <w:outlineLvl w:val="9"/>
        <w:rPr>
          <w:rFonts w:ascii="Times New Roman" w:eastAsia="楷体"/>
          <w:sz w:val="32"/>
          <w:szCs w:val="32"/>
          <w:lang w:val="zh-TW"/>
        </w:rPr>
      </w:pPr>
      <w:r>
        <w:rPr>
          <w:rFonts w:ascii="Times New Roman" w:eastAsia="仿宋_GB2312"/>
          <w:kern w:val="2"/>
          <w:sz w:val="32"/>
          <w:szCs w:val="32"/>
          <w:u w:color="000000"/>
          <w:lang w:val="zh-TW"/>
        </w:rPr>
        <w:t>本行落实专业部门专职岗位严格按照绿色信贷分类标准和报送口</w:t>
      </w:r>
      <w:r>
        <w:rPr>
          <w:rFonts w:ascii="Times New Roman" w:eastAsia="仿宋_GB2312"/>
          <w:sz w:val="32"/>
          <w:szCs w:val="32"/>
          <w:u w:color="000000"/>
          <w:lang w:val="zh-TW"/>
        </w:rPr>
        <w:t>径执行绿色信贷数据报送工作。</w:t>
      </w:r>
      <w:r>
        <w:rPr>
          <w:rFonts w:ascii="Times New Roman" w:eastAsia="仿宋_GB2312"/>
          <w:b/>
          <w:sz w:val="32"/>
          <w:szCs w:val="32"/>
          <w:u w:color="000000"/>
          <w:lang w:val="zh-TW"/>
        </w:rPr>
        <w:t>一是</w:t>
      </w:r>
      <w:r>
        <w:rPr>
          <w:rFonts w:ascii="Times New Roman" w:eastAsia="仿宋_GB2312"/>
          <w:sz w:val="32"/>
          <w:szCs w:val="32"/>
          <w:u w:color="000000"/>
          <w:lang w:val="zh-TW"/>
        </w:rPr>
        <w:t>从数据源头抓起，规范信贷系统对企业信息准确维护，同时规范贷款用途描述，确保自建的“绿色金融综合服务平台”筛选准确。</w:t>
      </w:r>
      <w:r>
        <w:rPr>
          <w:rFonts w:ascii="Times New Roman" w:eastAsia="仿宋_GB2312"/>
          <w:b/>
          <w:sz w:val="32"/>
          <w:szCs w:val="32"/>
          <w:u w:color="000000"/>
          <w:lang w:val="zh-TW"/>
        </w:rPr>
        <w:t>二是</w:t>
      </w:r>
      <w:r>
        <w:rPr>
          <w:rFonts w:ascii="Times New Roman" w:eastAsia="仿宋_GB2312"/>
          <w:sz w:val="32"/>
          <w:szCs w:val="32"/>
          <w:u w:color="000000"/>
          <w:lang w:val="zh-TW"/>
        </w:rPr>
        <w:t>推行绿色信贷全流程操作管理模式，创建“绿色信贷专项审批通道”，由绿色金融事业部专业人员逐笔审核绿色贴标业务，指导客户经理开展绿色贴标工作，对新增的绿色贷款进行重点把控，确保绿色信贷数据准确。</w:t>
      </w:r>
      <w:r>
        <w:rPr>
          <w:rFonts w:ascii="Times New Roman" w:eastAsia="仿宋_GB2312"/>
          <w:b/>
          <w:sz w:val="32"/>
          <w:szCs w:val="32"/>
          <w:u w:color="000000"/>
          <w:lang w:val="zh-TW"/>
        </w:rPr>
        <w:t>三是</w:t>
      </w:r>
      <w:r>
        <w:rPr>
          <w:rFonts w:ascii="Times New Roman" w:eastAsia="仿宋_GB2312"/>
          <w:sz w:val="32"/>
          <w:szCs w:val="32"/>
          <w:u w:color="000000"/>
          <w:lang w:val="zh-TW"/>
        </w:rPr>
        <w:t>推进省行大信贷平台与市人行的绿色金融信息管理系、市</w:t>
      </w:r>
      <w:r>
        <w:rPr>
          <w:rFonts w:hint="eastAsia" w:ascii="Times New Roman" w:eastAsia="仿宋_GB2312"/>
          <w:sz w:val="32"/>
          <w:szCs w:val="32"/>
          <w:u w:color="000000"/>
          <w:lang w:val="zh-TW"/>
        </w:rPr>
        <w:t>金融监管分局</w:t>
      </w:r>
      <w:r>
        <w:rPr>
          <w:rFonts w:ascii="Times New Roman" w:eastAsia="仿宋_GB2312"/>
          <w:sz w:val="32"/>
          <w:szCs w:val="32"/>
          <w:u w:color="000000"/>
          <w:lang w:val="zh-TW"/>
        </w:rPr>
        <w:t>的绿色金融监管综合信息系统实现对接，通过与客户经理约定在贷款发放时定向选择行业投向，批量对标、报送统计报表，实现系统取数自动化。</w:t>
      </w:r>
      <w:r>
        <w:rPr>
          <w:rFonts w:ascii="Times New Roman" w:eastAsia="仿宋_GB2312"/>
          <w:b/>
          <w:sz w:val="32"/>
          <w:szCs w:val="32"/>
          <w:u w:color="000000"/>
          <w:lang w:val="zh-TW"/>
        </w:rPr>
        <w:t>四是</w:t>
      </w:r>
      <w:r>
        <w:rPr>
          <w:rFonts w:ascii="Times New Roman" w:eastAsia="仿宋_GB2312"/>
          <w:sz w:val="32"/>
          <w:szCs w:val="32"/>
          <w:u w:color="000000"/>
          <w:lang w:val="zh-TW"/>
        </w:rPr>
        <w:t>开展定期核对工作。每月末将绿色贴标数据与本行自建的“绿色金融综合服务平台”通过映射规则跑批对标出的绿色信贷进行比对，对绿色贷款报数的准确性进行双重保障。</w:t>
      </w:r>
    </w:p>
    <w:p w14:paraId="39B18A5F">
      <w:pPr>
        <w:pStyle w:val="40"/>
        <w:ind w:firstLine="643"/>
        <w:outlineLvl w:val="2"/>
        <w:rPr>
          <w:rFonts w:ascii="仿宋_GB2312" w:hAnsi="Times New Roman" w:eastAsia="仿宋_GB2312"/>
          <w:lang w:eastAsia="zh-CN"/>
        </w:rPr>
      </w:pPr>
      <w:bookmarkStart w:id="125" w:name="_Toc30327"/>
      <w:bookmarkStart w:id="126" w:name="_Toc42012350"/>
      <w:r>
        <w:rPr>
          <w:rFonts w:ascii="Times New Roman" w:hAnsi="Times New Roman"/>
          <w:lang w:eastAsia="zh-CN"/>
        </w:rPr>
        <w:t>7.3.2</w:t>
      </w:r>
      <w:r>
        <w:rPr>
          <w:rFonts w:hint="eastAsia" w:ascii="仿宋_GB2312" w:hAnsi="Times New Roman" w:eastAsia="仿宋_GB2312"/>
          <w:lang w:eastAsia="zh-CN"/>
        </w:rPr>
        <w:t>本机构保证数据安全工作开展情况</w:t>
      </w:r>
      <w:bookmarkEnd w:id="125"/>
      <w:bookmarkEnd w:id="126"/>
    </w:p>
    <w:p w14:paraId="6B163B58">
      <w:pPr>
        <w:pStyle w:val="27"/>
        <w:tabs>
          <w:tab w:val="left" w:pos="949"/>
        </w:tabs>
        <w:spacing w:line="560" w:lineRule="exact"/>
        <w:ind w:firstLine="643" w:firstLineChars="200"/>
        <w:rPr>
          <w:rFonts w:eastAsia="仿宋_GB2312" w:cs="Times New Roman"/>
          <w:color w:val="auto"/>
          <w:kern w:val="0"/>
          <w:sz w:val="32"/>
          <w:szCs w:val="32"/>
          <w:lang w:val="zh-TW"/>
        </w:rPr>
      </w:pPr>
      <w:r>
        <w:rPr>
          <w:rFonts w:eastAsia="仿宋_GB2312" w:cs="Times New Roman"/>
          <w:b/>
          <w:color w:val="auto"/>
          <w:kern w:val="0"/>
          <w:sz w:val="32"/>
          <w:szCs w:val="32"/>
          <w:lang w:val="zh-TW"/>
        </w:rPr>
        <w:t>一是数据管理制度方面</w:t>
      </w:r>
      <w:r>
        <w:rPr>
          <w:rFonts w:eastAsia="仿宋_GB2312" w:cs="Times New Roman"/>
          <w:color w:val="auto"/>
          <w:kern w:val="0"/>
          <w:sz w:val="32"/>
          <w:szCs w:val="32"/>
          <w:lang w:val="zh-TW"/>
        </w:rPr>
        <w:t>，为规范本行数据信息的管理，本行制定了《浙江安吉农村商业银行股份有限公司数据安全管理办法》《浙江安吉农村商业银行股份有限公司数据备份管理办法》《浙江安吉农村商业银行股份有限公司生产数据脱敏管理办法》，对生产数据的生命周期进行管理，严格管理数据的采集、处理、存储、备份、恢复、清理和销毁。</w:t>
      </w:r>
      <w:r>
        <w:rPr>
          <w:rFonts w:eastAsia="仿宋_GB2312" w:cs="Times New Roman"/>
          <w:b/>
          <w:color w:val="auto"/>
          <w:kern w:val="0"/>
          <w:sz w:val="32"/>
          <w:szCs w:val="32"/>
          <w:lang w:val="zh-TW"/>
        </w:rPr>
        <w:t>二是严格系统登录模式，</w:t>
      </w:r>
      <w:r>
        <w:rPr>
          <w:rFonts w:eastAsia="仿宋_GB2312" w:cs="Times New Roman"/>
          <w:color w:val="auto"/>
          <w:kern w:val="0"/>
          <w:sz w:val="32"/>
          <w:szCs w:val="32"/>
          <w:lang w:val="zh-TW"/>
        </w:rPr>
        <w:t>严格按照监管和省行相关要求执行，重要系统原则上通过指纹登陆模式，由于个人原因无法使用指纹的，必须经过审批使用柜员卡加密码方式。系统均要求使用强密码，并强制要求定期修改。</w:t>
      </w:r>
      <w:r>
        <w:rPr>
          <w:rFonts w:eastAsia="仿宋_GB2312" w:cs="Times New Roman"/>
          <w:b/>
          <w:color w:val="auto"/>
          <w:kern w:val="0"/>
          <w:sz w:val="32"/>
          <w:szCs w:val="32"/>
          <w:lang w:val="zh-TW"/>
        </w:rPr>
        <w:t>三是进行数据资产梳理</w:t>
      </w:r>
      <w:r>
        <w:rPr>
          <w:rFonts w:eastAsia="仿宋_GB2312" w:cs="Times New Roman"/>
          <w:color w:val="auto"/>
          <w:kern w:val="0"/>
          <w:sz w:val="32"/>
          <w:szCs w:val="32"/>
          <w:lang w:val="zh-TW"/>
        </w:rPr>
        <w:t>，对数据下发、数据仓库、电子档</w:t>
      </w:r>
      <w:r>
        <w:rPr>
          <w:rFonts w:ascii="仿宋_GB2312" w:hAnsi="仿宋_GB2312" w:eastAsia="仿宋_GB2312" w:cs="仿宋_GB2312"/>
          <w:color w:val="auto"/>
          <w:sz w:val="32"/>
          <w:szCs w:val="32"/>
          <w:lang w:val="zh-TW"/>
        </w:rPr>
        <w:t>案、</w:t>
      </w:r>
      <w:r>
        <w:rPr>
          <w:rFonts w:hint="default" w:ascii="Times New Roman" w:hAnsi="Times New Roman" w:eastAsia="仿宋_GB2312" w:cs="Times New Roman"/>
          <w:color w:val="auto"/>
          <w:sz w:val="32"/>
          <w:szCs w:val="32"/>
          <w:lang w:val="zh-TW"/>
        </w:rPr>
        <w:t>OCR</w:t>
      </w:r>
      <w:r>
        <w:rPr>
          <w:rFonts w:ascii="仿宋_GB2312" w:hAnsi="仿宋_GB2312" w:eastAsia="仿宋_GB2312" w:cs="仿宋_GB2312"/>
          <w:color w:val="auto"/>
          <w:sz w:val="32"/>
          <w:szCs w:val="32"/>
          <w:lang w:val="zh-TW"/>
        </w:rPr>
        <w:t>等重要业务数据和公民个人信息的相关信息系统为重点，全面排查</w:t>
      </w:r>
      <w:r>
        <w:rPr>
          <w:rFonts w:eastAsia="仿宋_GB2312" w:cs="Times New Roman"/>
          <w:color w:val="auto"/>
          <w:kern w:val="0"/>
          <w:sz w:val="32"/>
          <w:szCs w:val="32"/>
          <w:lang w:val="zh-TW"/>
        </w:rPr>
        <w:t>相关信息系统重要数据和公民个人信息在采集、存储（含缓存）、传输、使用、提供、销毁等环节的具体情况，并形成数据资产清单。</w:t>
      </w:r>
      <w:r>
        <w:rPr>
          <w:rFonts w:eastAsia="仿宋_GB2312" w:cs="Times New Roman"/>
          <w:b/>
          <w:color w:val="auto"/>
          <w:kern w:val="0"/>
          <w:sz w:val="32"/>
          <w:szCs w:val="32"/>
          <w:lang w:val="zh-TW"/>
        </w:rPr>
        <w:t>四是在数据访问控制方面</w:t>
      </w:r>
      <w:r>
        <w:rPr>
          <w:rFonts w:eastAsia="仿宋_GB2312" w:cs="Times New Roman"/>
          <w:color w:val="auto"/>
          <w:kern w:val="0"/>
          <w:sz w:val="32"/>
          <w:szCs w:val="32"/>
          <w:lang w:val="zh-TW"/>
        </w:rPr>
        <w:t>，本行对终端进行了移动磁盘限制，数据提取必须进行有权审批，并对数据进行加密，杜绝泄漏重要数据和公民个人信息情况发生。本行终端</w:t>
      </w:r>
      <w:r>
        <w:rPr>
          <w:rFonts w:ascii="仿宋_GB2312" w:hAnsi="仿宋_GB2312" w:eastAsia="仿宋_GB2312" w:cs="仿宋_GB2312"/>
          <w:color w:val="auto"/>
          <w:sz w:val="32"/>
          <w:szCs w:val="32"/>
          <w:lang w:val="zh-TW"/>
        </w:rPr>
        <w:t>已全部部署</w:t>
      </w:r>
      <w:r>
        <w:rPr>
          <w:rFonts w:hint="default" w:ascii="Times New Roman" w:hAnsi="Times New Roman" w:eastAsia="仿宋_GB2312" w:cs="Times New Roman"/>
          <w:color w:val="auto"/>
          <w:sz w:val="32"/>
          <w:szCs w:val="32"/>
          <w:lang w:val="zh-TW"/>
        </w:rPr>
        <w:t>DLP</w:t>
      </w:r>
      <w:r>
        <w:rPr>
          <w:rFonts w:ascii="仿宋_GB2312" w:hAnsi="仿宋_GB2312" w:eastAsia="仿宋_GB2312" w:cs="仿宋_GB2312"/>
          <w:color w:val="auto"/>
          <w:sz w:val="32"/>
          <w:szCs w:val="32"/>
          <w:lang w:val="zh-TW"/>
        </w:rPr>
        <w:t>防泄漏系统和</w:t>
      </w:r>
      <w:r>
        <w:rPr>
          <w:rFonts w:hint="default" w:ascii="Times New Roman" w:hAnsi="Times New Roman" w:eastAsia="仿宋_GB2312" w:cs="Times New Roman"/>
          <w:color w:val="auto"/>
          <w:sz w:val="32"/>
          <w:szCs w:val="32"/>
          <w:lang w:val="zh-TW"/>
        </w:rPr>
        <w:t>AuditPlus</w:t>
      </w:r>
      <w:r>
        <w:rPr>
          <w:rFonts w:ascii="仿宋_GB2312" w:hAnsi="仿宋_GB2312" w:eastAsia="仿宋_GB2312" w:cs="仿宋_GB2312"/>
          <w:color w:val="auto"/>
          <w:sz w:val="32"/>
          <w:szCs w:val="32"/>
          <w:lang w:val="zh-TW"/>
        </w:rPr>
        <w:t>客户端，对数据操</w:t>
      </w:r>
      <w:r>
        <w:rPr>
          <w:rFonts w:eastAsia="仿宋_GB2312" w:cs="Times New Roman"/>
          <w:color w:val="auto"/>
          <w:kern w:val="0"/>
          <w:sz w:val="32"/>
          <w:szCs w:val="32"/>
          <w:lang w:val="zh-TW"/>
        </w:rPr>
        <w:t>作进行监控和记录。</w:t>
      </w:r>
      <w:r>
        <w:rPr>
          <w:rFonts w:eastAsia="仿宋_GB2312" w:cs="Times New Roman"/>
          <w:b/>
          <w:color w:val="auto"/>
          <w:kern w:val="0"/>
          <w:sz w:val="32"/>
          <w:szCs w:val="32"/>
          <w:lang w:val="zh-TW"/>
        </w:rPr>
        <w:t>五是在数据备份方面</w:t>
      </w:r>
      <w:r>
        <w:rPr>
          <w:rFonts w:eastAsia="仿宋_GB2312" w:cs="Times New Roman"/>
          <w:color w:val="auto"/>
          <w:kern w:val="0"/>
          <w:sz w:val="32"/>
          <w:szCs w:val="32"/>
          <w:lang w:val="zh-TW"/>
        </w:rPr>
        <w:t>，应用程序和日常数据严格按规定做好备份及登记工作，数据备份均严格按照省行下发的运维手册进行操作，备份后的数据包括数据库备份和图像数据复制到移动硬盘或刻录光盘的形式保存在灾备机房，并有专人做好记录。在应急演练过程中，对部分数据进行恢复性测试。</w:t>
      </w:r>
      <w:r>
        <w:rPr>
          <w:rFonts w:eastAsia="仿宋_GB2312" w:cs="Times New Roman"/>
          <w:b/>
          <w:color w:val="auto"/>
          <w:kern w:val="0"/>
          <w:sz w:val="32"/>
          <w:szCs w:val="32"/>
          <w:lang w:val="zh-TW"/>
        </w:rPr>
        <w:t>六是在客户信息保护方面</w:t>
      </w:r>
      <w:r>
        <w:rPr>
          <w:rFonts w:eastAsia="仿宋_GB2312" w:cs="Times New Roman"/>
          <w:color w:val="auto"/>
          <w:kern w:val="0"/>
          <w:sz w:val="32"/>
          <w:szCs w:val="32"/>
          <w:lang w:val="zh-TW"/>
        </w:rPr>
        <w:t>，制定了涉及客户敏感信息的运维操作审批流程，经行领导审批拷出，用以加强员工操作行为管控和审计，禁止违规查询、下载、复印、保存客</w:t>
      </w:r>
      <w:r>
        <w:rPr>
          <w:rFonts w:ascii="仿宋_GB2312" w:hAnsi="仿宋_GB2312" w:eastAsia="仿宋_GB2312" w:cs="仿宋_GB2312"/>
          <w:color w:val="auto"/>
          <w:sz w:val="32"/>
          <w:szCs w:val="32"/>
          <w:lang w:val="zh-TW"/>
        </w:rPr>
        <w:t>户信息；数据的</w:t>
      </w:r>
      <w:r>
        <w:rPr>
          <w:rFonts w:eastAsia="仿宋_GB2312" w:cs="Times New Roman"/>
          <w:color w:val="auto"/>
          <w:kern w:val="0"/>
          <w:sz w:val="32"/>
          <w:szCs w:val="32"/>
          <w:lang w:val="zh-TW"/>
        </w:rPr>
        <w:t>增删改查，导入/导出操作均有日志记录。本</w:t>
      </w:r>
      <w:r>
        <w:rPr>
          <w:rFonts w:ascii="仿宋_GB2312" w:hAnsi="仿宋_GB2312" w:eastAsia="仿宋_GB2312" w:cs="仿宋_GB2312"/>
          <w:color w:val="auto"/>
          <w:sz w:val="32"/>
          <w:szCs w:val="32"/>
          <w:lang w:val="zh-TW"/>
        </w:rPr>
        <w:t>行未有APP等系统用</w:t>
      </w:r>
      <w:r>
        <w:rPr>
          <w:rFonts w:eastAsia="仿宋_GB2312" w:cs="Times New Roman"/>
          <w:color w:val="auto"/>
          <w:kern w:val="0"/>
          <w:sz w:val="32"/>
          <w:szCs w:val="32"/>
          <w:lang w:val="zh-TW"/>
        </w:rPr>
        <w:t>于收集客户信息，亦无对外共享数据。</w:t>
      </w:r>
    </w:p>
    <w:p w14:paraId="4EEFA132">
      <w:pPr>
        <w:pStyle w:val="40"/>
        <w:ind w:firstLine="643"/>
        <w:outlineLvl w:val="2"/>
        <w:rPr>
          <w:rFonts w:ascii="仿宋_GB2312" w:hAnsi="Times New Roman" w:eastAsia="仿宋_GB2312"/>
          <w:lang w:eastAsia="zh-CN"/>
        </w:rPr>
      </w:pPr>
      <w:bookmarkStart w:id="127" w:name="_Toc42012351"/>
      <w:bookmarkStart w:id="128" w:name="_Toc31726"/>
      <w:r>
        <w:rPr>
          <w:rFonts w:ascii="Times New Roman" w:hAnsi="Times New Roman"/>
          <w:lang w:eastAsia="zh-CN"/>
        </w:rPr>
        <w:t>7.3.3</w:t>
      </w:r>
      <w:r>
        <w:rPr>
          <w:rFonts w:hint="eastAsia" w:ascii="仿宋_GB2312" w:hAnsi="Times New Roman" w:eastAsia="仿宋_GB2312"/>
          <w:lang w:eastAsia="zh-CN"/>
        </w:rPr>
        <w:t>本机构数据安全方面的应急预案</w:t>
      </w:r>
      <w:bookmarkEnd w:id="127"/>
      <w:bookmarkEnd w:id="128"/>
    </w:p>
    <w:p w14:paraId="5A07C950">
      <w:pPr>
        <w:spacing w:line="560" w:lineRule="exact"/>
        <w:ind w:firstLine="640" w:firstLineChars="200"/>
        <w:rPr>
          <w:lang w:val="zh-TW"/>
        </w:rPr>
      </w:pPr>
      <w:r>
        <w:rPr>
          <w:rFonts w:eastAsia="仿宋_GB2312"/>
          <w:sz w:val="32"/>
          <w:szCs w:val="32"/>
          <w:u w:color="000000"/>
          <w:lang w:val="zh-TW"/>
        </w:rPr>
        <w:t>根据省行网络规划要求，本行</w:t>
      </w:r>
      <w:r>
        <w:rPr>
          <w:rFonts w:hint="eastAsia" w:eastAsia="仿宋_GB2312"/>
          <w:color w:val="000000"/>
          <w:sz w:val="32"/>
          <w:szCs w:val="32"/>
          <w:u w:color="000000"/>
          <w:lang w:val="zh-TW"/>
        </w:rPr>
        <w:t>已在2019年建设了新灾备中心，2020年进行了搬迁，目前运行稳定，地点位于本行运维大楼3楼。实现了网络、数</w:t>
      </w:r>
      <w:r>
        <w:rPr>
          <w:rFonts w:eastAsia="仿宋_GB2312"/>
          <w:sz w:val="32"/>
          <w:szCs w:val="32"/>
          <w:u w:color="000000"/>
          <w:lang w:val="zh-TW"/>
        </w:rPr>
        <w:t>据及部分应用系统的同城灾备。应急管理方面，本行按照计算机机房及动力环境系统、网络通信、主机系统、门户网站等制定了不同的应急预案，在演练前制定详细演练计划，包括演练内容、时间，人员安排和回退方案，保障演练的完整性和安全性。应急演练每季度不少于一次，演练完成后进行总结，出具应急演练报告。同时制订了《浙江安吉农村商业银行股份有限公司信息系统危机处置预案》及《浙江安吉农村商业银行信息系统应急预案制度》等制度，对可能发生的计算机方面的故障事件制定了处置预案，明确相关部门、岗位职责，相关应急事件的处置方式、处置流程、汇报流程和相关应急保障等，确保在各种计算机突发事件出现的情况下，最大限度、最快速度恢复计算机正常使用。当信息系统发生软件升级、系统补丁安装、配置参数调整、网络改造等变更时，及时更新应急预案。</w:t>
      </w:r>
    </w:p>
    <w:p w14:paraId="77C2ED35">
      <w:pPr>
        <w:pStyle w:val="2"/>
        <w:ind w:firstLine="640"/>
        <w:rPr>
          <w:rFonts w:ascii="Times New Roman" w:hAnsi="Times New Roman"/>
          <w:color w:val="000000"/>
          <w:u w:color="000000"/>
          <w:lang w:val="en-US"/>
        </w:rPr>
      </w:pPr>
      <w:bookmarkStart w:id="129" w:name="_Toc25119"/>
      <w:bookmarkStart w:id="130" w:name="_Toc70665267"/>
      <w:r>
        <w:rPr>
          <w:rFonts w:ascii="Times New Roman" w:hAnsi="Times New Roman"/>
          <w:color w:val="000000"/>
          <w:u w:color="000000"/>
          <w:lang w:val="en-US"/>
        </w:rPr>
        <w:t>8绿色金融创新及研究成果</w:t>
      </w:r>
      <w:bookmarkEnd w:id="129"/>
      <w:bookmarkEnd w:id="130"/>
    </w:p>
    <w:p w14:paraId="0C1300B8">
      <w:pPr>
        <w:pStyle w:val="27"/>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表5.安吉农商银行绿色金融创新案例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008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Borders>
              <w:top w:val="single" w:color="auto" w:sz="4" w:space="0"/>
              <w:left w:val="single" w:color="auto" w:sz="4" w:space="0"/>
              <w:bottom w:val="single" w:color="auto" w:sz="4" w:space="0"/>
              <w:right w:val="single" w:color="auto" w:sz="4" w:space="0"/>
            </w:tcBorders>
          </w:tcPr>
          <w:p w14:paraId="500F4D10">
            <w:pPr>
              <w:pStyle w:val="19"/>
              <w:tabs>
                <w:tab w:val="left" w:pos="949"/>
              </w:tabs>
              <w:spacing w:after="0" w:line="560" w:lineRule="exact"/>
              <w:ind w:left="0" w:leftChars="0" w:firstLine="0" w:firstLineChars="0"/>
              <w:jc w:val="center"/>
              <w:rPr>
                <w:rFonts w:eastAsia="黑体"/>
                <w:kern w:val="0"/>
                <w:sz w:val="32"/>
                <w:szCs w:val="32"/>
              </w:rPr>
            </w:pPr>
            <w:r>
              <w:rPr>
                <w:rFonts w:eastAsia="黑体"/>
                <w:kern w:val="0"/>
                <w:sz w:val="32"/>
                <w:szCs w:val="32"/>
              </w:rPr>
              <w:t>绿色金融产品服务（管理机制）创新案例</w:t>
            </w:r>
          </w:p>
          <w:p w14:paraId="760C3DD2">
            <w:pPr>
              <w:pStyle w:val="45"/>
              <w:spacing w:before="156" w:line="240" w:lineRule="auto"/>
              <w:ind w:firstLine="640"/>
              <w:rPr>
                <w:rFonts w:ascii="Times New Roman"/>
                <w:u w:val="none"/>
              </w:rPr>
            </w:pPr>
            <w:bookmarkStart w:id="131" w:name="_Toc70665268"/>
            <w:bookmarkStart w:id="132" w:name="_Toc42012353"/>
            <w:bookmarkStart w:id="133" w:name="_Toc25210"/>
            <w:r>
              <w:rPr>
                <w:rFonts w:ascii="Times New Roman" w:eastAsia="黑体"/>
                <w:szCs w:val="32"/>
                <w:u w:val="none"/>
              </w:rPr>
              <w:t>案例：</w:t>
            </w:r>
            <w:bookmarkEnd w:id="131"/>
            <w:bookmarkEnd w:id="132"/>
            <w:r>
              <w:rPr>
                <w:rFonts w:hint="eastAsia" w:ascii="Times New Roman"/>
                <w:u w:val="none"/>
              </w:rPr>
              <w:t>水生态价值转化“金山银山”</w:t>
            </w:r>
            <w:bookmarkEnd w:id="133"/>
          </w:p>
          <w:p w14:paraId="6711CC1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一、案例背景</w:t>
            </w:r>
          </w:p>
          <w:p w14:paraId="067B75A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水生态价值转化产品是指通过水土保持预防保护与治理，使生态系统提供给人类社会使用和消费的或具有潜在使用价值的产品。上世纪末，安吉因为发展“石头经济”，矿山开采活动频繁，曾经是浙江省因矿山开采活动产生水土流失最严重的地区之一。近</w:t>
            </w:r>
            <w:r>
              <w:rPr>
                <w:rFonts w:hint="default" w:ascii="Times New Roman" w:hAnsi="Times New Roman" w:eastAsia="仿宋_GB2312" w:cs="Times New Roman"/>
                <w:sz w:val="32"/>
                <w:szCs w:val="32"/>
              </w:rPr>
              <w:t>20</w:t>
            </w:r>
            <w:r>
              <w:rPr>
                <w:rFonts w:hint="eastAsia" w:ascii="仿宋_GB2312" w:eastAsia="仿宋_GB2312"/>
                <w:sz w:val="32"/>
                <w:szCs w:val="32"/>
              </w:rPr>
              <w:t>年来，安吉通过一系列水土保持措施，全县水土保持率有原来的</w:t>
            </w:r>
            <w:r>
              <w:rPr>
                <w:rFonts w:hint="default" w:ascii="Times New Roman" w:hAnsi="Times New Roman" w:eastAsia="仿宋_GB2312" w:cs="Times New Roman"/>
                <w:sz w:val="32"/>
                <w:szCs w:val="32"/>
              </w:rPr>
              <w:t>84.5%</w:t>
            </w:r>
            <w:r>
              <w:rPr>
                <w:rFonts w:hint="eastAsia" w:ascii="仿宋_GB2312" w:eastAsia="仿宋_GB2312"/>
                <w:sz w:val="32"/>
                <w:szCs w:val="32"/>
              </w:rPr>
              <w:t>提高到</w:t>
            </w:r>
            <w:r>
              <w:rPr>
                <w:rFonts w:hint="default" w:ascii="Times New Roman" w:hAnsi="Times New Roman" w:eastAsia="仿宋_GB2312" w:cs="Times New Roman"/>
                <w:sz w:val="32"/>
                <w:szCs w:val="32"/>
              </w:rPr>
              <w:t>94.2%</w:t>
            </w:r>
            <w:r>
              <w:rPr>
                <w:rFonts w:hint="eastAsia" w:ascii="仿宋_GB2312" w:eastAsia="仿宋_GB2312"/>
                <w:sz w:val="32"/>
                <w:szCs w:val="32"/>
              </w:rPr>
              <w:t>。但是传统水土修复，资金投入大、转化效能低，如何实现水生态价值从沉默投入到价值绽放，一直是难题。</w:t>
            </w:r>
          </w:p>
          <w:p w14:paraId="68FFEC5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家水利部印发的《关于加快推进水土保持生态产品价值转化的意见》，水利部、国家发展改革委、中国人民银行联合印发的《关于建立健全生态清洁小流域水土保持生态产品价值实现机制的意见》，均指出要建立健全水土保持生态产品价值实现机制，推动水土保持高质量发展。作为绿色金融的倡导者和探索者，安吉农商银行坚持新质生产力本身就是绿色生产力，通过开展水生态产品价值转化金融产品创新，助力解决生态产品价值实现过程中“难度量、难抵押、难交易、难变现”等问题，促进新业态增值增收，经济高质量发展，助推乡村全面振兴和共同富裕。</w:t>
            </w:r>
          </w:p>
          <w:p w14:paraId="3D72174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二、主要做法</w:t>
            </w:r>
          </w:p>
          <w:p w14:paraId="010D3E82">
            <w:pPr>
              <w:spacing w:line="560" w:lineRule="exact"/>
              <w:ind w:firstLine="640" w:firstLineChars="200"/>
              <w:rPr>
                <w:rFonts w:hint="eastAsia" w:ascii="Times New Roman" w:hAnsi="Times New Roman" w:eastAsia="仿宋_GB2312" w:cs="Times New Roman"/>
                <w:sz w:val="32"/>
                <w:szCs w:val="32"/>
              </w:rPr>
            </w:pPr>
            <w:r>
              <w:rPr>
                <w:rFonts w:hint="eastAsia" w:ascii="楷体_GB2312" w:eastAsia="楷体_GB2312"/>
                <w:sz w:val="32"/>
                <w:szCs w:val="32"/>
              </w:rPr>
              <w:t>（一）统一评估标准，量化经济效益。</w:t>
            </w:r>
            <w:r>
              <w:rPr>
                <w:rFonts w:hint="eastAsia" w:ascii="Times New Roman" w:hAnsi="Times New Roman" w:eastAsia="仿宋_GB2312" w:cs="Times New Roman"/>
                <w:sz w:val="32"/>
                <w:szCs w:val="32"/>
              </w:rPr>
              <w:t>安吉县以全省水利改革创新试点为契机，委托水利部发展研究中心、省水利河口研究院等机构，深入研究水生态产品价值，于2024年3月发布《浙江省安吉县水土保持生态产品价值核算研究报告》，为水生态产品价值实现提供可量化的统一标尺。安吉农商银行作为金融机构代表，全程参与水土保持、水权等水生态产品价值实现相关的座谈交流，并实地调研生态清洁小流域区块，为支持水生态产品价值转化出谋划策，挖掘水土保持生态产品的转化价值。安吉农商银行与水利局摸排安吉县水土保持生态产品数量、质量等底数，形成较为系统完整、风险可控的水</w:t>
            </w:r>
            <w:r>
              <w:rPr>
                <w:rFonts w:hint="eastAsia" w:ascii="Times New Roman" w:hAnsi="Times New Roman" w:eastAsia="仿宋_GB2312" w:cs="Times New Roman"/>
                <w:b w:val="0"/>
                <w:bCs w:val="0"/>
                <w:sz w:val="32"/>
                <w:szCs w:val="32"/>
              </w:rPr>
              <w:t>土保持生态产品目录清单。目前，经梳理和核算，安吉县全县</w:t>
            </w:r>
            <w:r>
              <w:rPr>
                <w:rFonts w:hint="eastAsia" w:ascii="Times New Roman" w:hAnsi="Times New Roman" w:eastAsia="仿宋_GB2312" w:cs="Times New Roman"/>
                <w:sz w:val="32"/>
                <w:szCs w:val="32"/>
              </w:rPr>
              <w:t>共有38个小流域生态产品，价值约为33.2亿元。</w:t>
            </w:r>
          </w:p>
          <w:p w14:paraId="5D4B957B">
            <w:pPr>
              <w:spacing w:line="560" w:lineRule="exact"/>
              <w:ind w:firstLine="640" w:firstLineChars="200"/>
              <w:rPr>
                <w:rFonts w:ascii="Times New Roman" w:hAnsi="Times New Roman" w:eastAsia="仿宋_GB2312" w:cs="Times New Roman"/>
                <w:sz w:val="32"/>
                <w:szCs w:val="32"/>
              </w:rPr>
            </w:pPr>
            <w:r>
              <w:rPr>
                <w:rFonts w:hint="eastAsia" w:ascii="楷体_GB2312" w:eastAsia="楷体_GB2312"/>
                <w:sz w:val="32"/>
                <w:szCs w:val="32"/>
              </w:rPr>
              <w:t>（二）支持社会资本，激活生态效益。</w:t>
            </w:r>
            <w:r>
              <w:rPr>
                <w:rFonts w:hint="eastAsia" w:ascii="Times New Roman" w:hAnsi="Times New Roman" w:eastAsia="仿宋_GB2312" w:cs="Times New Roman"/>
                <w:sz w:val="32"/>
                <w:szCs w:val="32"/>
              </w:rPr>
              <w:t>县域层面水生态产品价值转化机制的建成，打通了社会资本参与水土流失治理的有效渠道。出让方在“两山合作社”平台上上传生态产品信息，潜在意向购买人通过公开招标的形式开展竞价交易，招标完成后，安吉县两山合作社向中标单位核发《水土保持生态产品交易凭证》等开发经营权证。中标单位即受让方，不仅要支付运营管理费，还要提交履约保证金，这是一笔较大的费用支出。为解决企业资金缺口，安吉农商银行积极对接安吉县水利局，签订《“推进水生态产品价值转化”合作协议》，以《水土保持生态产品价值核算报告》的核算结果为基础，配套推出“水权贷”信贷产品，探索应用“生态产品抵（质）押+项目贷”模式，允许经营主体利用水土保持等水生态产品经营权开展抵（质）押，专项支持受让方河道生态功能修复和开发利用，缓解受让方融资难题。</w:t>
            </w:r>
          </w:p>
          <w:p w14:paraId="795E2E05">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（三）优化资源配置，实现社会效益。</w:t>
            </w:r>
            <w:r>
              <w:rPr>
                <w:rFonts w:hint="eastAsia" w:ascii="仿宋_GB2312" w:eastAsia="仿宋_GB2312"/>
                <w:sz w:val="32"/>
                <w:szCs w:val="32"/>
              </w:rPr>
              <w:t>绿色发展是高质量发展的底色，保护生态就是发展生产力。做好河道的泄洪保障、水土保持等生态功能维护工作是谋划水土保持生态产品价值转化的前提，也是推动产业融合的关键因素。为助力新业态增值，安吉农商银行发挥绿色金融的资源配置作用，通过贷款资金、收款服务、账户管理等方式，支持水土保持与网红咖啡相融合，擦亮安吉乡咖品牌；支持水土保持与溯溪露营相融合，吸引更多流量打卡；支持水土保持与生态农业相融合，厚植绿色产业价值。</w:t>
            </w:r>
          </w:p>
          <w:p w14:paraId="5A6C0FFA">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三、案例成效</w:t>
            </w:r>
          </w:p>
          <w:p w14:paraId="6766C84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截至</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eastAsia" w:ascii="仿宋_GB2312" w:eastAsia="仿宋_GB2312"/>
                <w:sz w:val="32"/>
                <w:szCs w:val="32"/>
              </w:rPr>
              <w:t>年末，安吉农商银行已对接支持章村镇河垓村和梅溪镇铜山村</w:t>
            </w:r>
            <w:r>
              <w:rPr>
                <w:rFonts w:hint="default" w:ascii="Times New Roman" w:hAnsi="Times New Roman" w:eastAsia="仿宋_GB2312" w:cs="Times New Roman"/>
                <w:sz w:val="32"/>
                <w:szCs w:val="32"/>
              </w:rPr>
              <w:t>2</w:t>
            </w:r>
            <w:r>
              <w:rPr>
                <w:rFonts w:hint="eastAsia" w:ascii="仿宋_GB2312" w:eastAsia="仿宋_GB2312"/>
                <w:sz w:val="32"/>
                <w:szCs w:val="32"/>
              </w:rPr>
              <w:t>个小流域区块开展水生态价值转化工作，共发放贷款</w:t>
            </w:r>
            <w:r>
              <w:rPr>
                <w:rFonts w:hint="eastAsia" w:eastAsia="仿宋_GB2312" w:cs="Times New Roman"/>
                <w:sz w:val="32"/>
                <w:szCs w:val="32"/>
                <w:lang w:val="en-US" w:eastAsia="zh-CN"/>
              </w:rPr>
              <w:t>2000</w:t>
            </w:r>
            <w:r>
              <w:rPr>
                <w:rFonts w:hint="eastAsia" w:ascii="仿宋_GB2312" w:eastAsia="仿宋_GB2312"/>
                <w:sz w:val="32"/>
                <w:szCs w:val="32"/>
              </w:rPr>
              <w:t>万元，通过水生态金融产品创新，不仅激发生态优势转化为经济优势的内生动能，还促进地方经济可持续发展与生态环境保护的双赢。</w:t>
            </w:r>
          </w:p>
          <w:p w14:paraId="73AEFD9B">
            <w:pPr>
              <w:spacing w:line="560" w:lineRule="exact"/>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2024</w:t>
            </w:r>
            <w:r>
              <w:rPr>
                <w:rFonts w:hint="eastAsia" w:ascii="仿宋_GB2312" w:eastAsia="仿宋_GB2312"/>
                <w:sz w:val="32"/>
                <w:szCs w:val="32"/>
              </w:rPr>
              <w:t>年</w:t>
            </w:r>
            <w:r>
              <w:rPr>
                <w:rFonts w:hint="default" w:ascii="Times New Roman" w:hAnsi="Times New Roman" w:eastAsia="仿宋_GB2312" w:cs="Times New Roman"/>
                <w:sz w:val="32"/>
                <w:szCs w:val="32"/>
              </w:rPr>
              <w:t>3</w:t>
            </w:r>
            <w:r>
              <w:rPr>
                <w:rFonts w:hint="eastAsia" w:ascii="仿宋_GB2312" w:eastAsia="仿宋_GB2312"/>
                <w:sz w:val="32"/>
                <w:szCs w:val="32"/>
              </w:rPr>
              <w:t>月</w:t>
            </w:r>
            <w:r>
              <w:rPr>
                <w:rFonts w:hint="default" w:ascii="Times New Roman" w:hAnsi="Times New Roman" w:eastAsia="仿宋_GB2312" w:cs="Times New Roman"/>
                <w:sz w:val="32"/>
                <w:szCs w:val="32"/>
              </w:rPr>
              <w:t>20</w:t>
            </w:r>
            <w:r>
              <w:rPr>
                <w:rFonts w:hint="eastAsia" w:ascii="仿宋_GB2312" w:eastAsia="仿宋_GB2312"/>
                <w:sz w:val="32"/>
                <w:szCs w:val="32"/>
              </w:rPr>
              <w:t>日，全国首单水土保持生态产品价值转化交易在安吉县章村镇签约落地，中标企业以</w:t>
            </w:r>
            <w:r>
              <w:rPr>
                <w:rFonts w:hint="default" w:ascii="Times New Roman" w:hAnsi="Times New Roman" w:eastAsia="仿宋_GB2312" w:cs="Times New Roman"/>
                <w:sz w:val="32"/>
                <w:szCs w:val="32"/>
              </w:rPr>
              <w:t>3328</w:t>
            </w:r>
            <w:r>
              <w:rPr>
                <w:rFonts w:hint="eastAsia" w:ascii="仿宋_GB2312" w:eastAsia="仿宋_GB2312"/>
                <w:sz w:val="32"/>
                <w:szCs w:val="32"/>
              </w:rPr>
              <w:t>万元取得章村黄浦江源石门坑生态清洁小流域河垓区块水土保持生态旅游资源的</w:t>
            </w:r>
            <w:r>
              <w:rPr>
                <w:rFonts w:hint="default" w:ascii="Times New Roman" w:hAnsi="Times New Roman" w:eastAsia="仿宋_GB2312" w:cs="Times New Roman"/>
                <w:sz w:val="32"/>
                <w:szCs w:val="32"/>
              </w:rPr>
              <w:t>6</w:t>
            </w:r>
            <w:r>
              <w:rPr>
                <w:rFonts w:hint="eastAsia" w:ascii="仿宋_GB2312" w:eastAsia="仿宋_GB2312"/>
                <w:sz w:val="32"/>
                <w:szCs w:val="32"/>
              </w:rPr>
              <w:t>年经营权，安吉农商银行根据该流域水土保持生态价值核算及企业需求，向其授信</w:t>
            </w:r>
            <w:r>
              <w:rPr>
                <w:rFonts w:hint="default" w:ascii="Times New Roman" w:hAnsi="Times New Roman" w:eastAsia="仿宋_GB2312" w:cs="Times New Roman"/>
                <w:sz w:val="32"/>
                <w:szCs w:val="32"/>
              </w:rPr>
              <w:t>1000</w:t>
            </w:r>
            <w:r>
              <w:rPr>
                <w:rFonts w:hint="eastAsia" w:ascii="仿宋_GB2312" w:eastAsia="仿宋_GB2312"/>
                <w:sz w:val="32"/>
                <w:szCs w:val="32"/>
              </w:rPr>
              <w:t>万元“水权贷”专项贷款，用于保护开发利用，预计带动村集体年增收超</w:t>
            </w:r>
            <w:r>
              <w:rPr>
                <w:rFonts w:hint="default" w:ascii="Times New Roman" w:hAnsi="Times New Roman" w:eastAsia="仿宋_GB2312" w:cs="Times New Roman"/>
                <w:sz w:val="32"/>
                <w:szCs w:val="32"/>
              </w:rPr>
              <w:t>100</w:t>
            </w:r>
            <w:r>
              <w:rPr>
                <w:rFonts w:hint="eastAsia" w:ascii="仿宋_GB2312" w:eastAsia="仿宋_GB2312"/>
                <w:sz w:val="32"/>
                <w:szCs w:val="32"/>
              </w:rPr>
              <w:t>万元，新增村民就业岗位</w:t>
            </w:r>
            <w:r>
              <w:rPr>
                <w:rFonts w:hint="default" w:ascii="Times New Roman" w:hAnsi="Times New Roman" w:eastAsia="仿宋_GB2312" w:cs="Times New Roman"/>
                <w:sz w:val="32"/>
                <w:szCs w:val="32"/>
              </w:rPr>
              <w:t>50</w:t>
            </w:r>
            <w:r>
              <w:rPr>
                <w:rFonts w:hint="eastAsia" w:ascii="仿宋_GB2312" w:eastAsia="仿宋_GB2312"/>
                <w:sz w:val="32"/>
                <w:szCs w:val="32"/>
              </w:rPr>
              <w:t>个，带动区域年均增收超</w:t>
            </w:r>
            <w:r>
              <w:rPr>
                <w:rFonts w:hint="default" w:ascii="Times New Roman" w:hAnsi="Times New Roman" w:eastAsia="仿宋_GB2312" w:cs="Times New Roman"/>
                <w:sz w:val="32"/>
                <w:szCs w:val="32"/>
              </w:rPr>
              <w:t>1000</w:t>
            </w:r>
            <w:r>
              <w:rPr>
                <w:rFonts w:hint="eastAsia" w:ascii="仿宋_GB2312" w:eastAsia="仿宋_GB2312"/>
                <w:sz w:val="32"/>
                <w:szCs w:val="32"/>
              </w:rPr>
              <w:t>万元。</w:t>
            </w:r>
          </w:p>
          <w:p w14:paraId="3EDDE97A">
            <w:pPr>
              <w:spacing w:line="560" w:lineRule="exact"/>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2024</w:t>
            </w:r>
            <w:r>
              <w:rPr>
                <w:rFonts w:hint="eastAsia" w:ascii="仿宋_GB2312" w:eastAsia="仿宋_GB2312"/>
                <w:sz w:val="32"/>
                <w:szCs w:val="32"/>
              </w:rPr>
              <w:t xml:space="preserve"> 年</w:t>
            </w:r>
            <w:r>
              <w:rPr>
                <w:rFonts w:hint="default" w:ascii="Times New Roman" w:hAnsi="Times New Roman" w:eastAsia="仿宋_GB2312" w:cs="Times New Roman"/>
                <w:sz w:val="32"/>
                <w:szCs w:val="32"/>
              </w:rPr>
              <w:t xml:space="preserve"> 8</w:t>
            </w:r>
            <w:r>
              <w:rPr>
                <w:rFonts w:hint="eastAsia" w:ascii="仿宋_GB2312" w:eastAsia="仿宋_GB2312"/>
                <w:sz w:val="32"/>
                <w:szCs w:val="32"/>
              </w:rPr>
              <w:t xml:space="preserve"> 月</w:t>
            </w:r>
            <w:r>
              <w:rPr>
                <w:rFonts w:hint="default" w:ascii="Times New Roman" w:hAnsi="Times New Roman" w:eastAsia="仿宋_GB2312" w:cs="Times New Roman"/>
                <w:sz w:val="32"/>
                <w:szCs w:val="32"/>
              </w:rPr>
              <w:t xml:space="preserve"> 14</w:t>
            </w:r>
            <w:r>
              <w:rPr>
                <w:rFonts w:hint="eastAsia" w:ascii="仿宋_GB2312" w:eastAsia="仿宋_GB2312"/>
                <w:sz w:val="32"/>
                <w:szCs w:val="32"/>
              </w:rPr>
              <w:t xml:space="preserve"> 日，在第二个全国生态日活动启动仪式暨安吉县生态产品价值实现推进会上，中标企业以 </w:t>
            </w:r>
            <w:r>
              <w:rPr>
                <w:rFonts w:hint="default" w:ascii="Times New Roman" w:hAnsi="Times New Roman" w:eastAsia="仿宋_GB2312" w:cs="Times New Roman"/>
                <w:sz w:val="32"/>
                <w:szCs w:val="32"/>
              </w:rPr>
              <w:t>2920</w:t>
            </w:r>
            <w:r>
              <w:rPr>
                <w:rFonts w:hint="eastAsia" w:ascii="仿宋_GB2312" w:eastAsia="仿宋_GB2312"/>
                <w:sz w:val="32"/>
                <w:szCs w:val="32"/>
              </w:rPr>
              <w:t xml:space="preserve"> 万元的价格，拍下梅溪镇钱坑桥小流域铜山区块水土保持生态产品（生态旅游资源）</w:t>
            </w:r>
            <w:r>
              <w:rPr>
                <w:rFonts w:hint="default" w:ascii="Times New Roman" w:hAnsi="Times New Roman" w:eastAsia="仿宋_GB2312" w:cs="Times New Roman"/>
                <w:sz w:val="32"/>
                <w:szCs w:val="32"/>
              </w:rPr>
              <w:t>15</w:t>
            </w:r>
            <w:r>
              <w:rPr>
                <w:rFonts w:hint="eastAsia" w:ascii="仿宋_GB2312" w:eastAsia="仿宋_GB2312"/>
                <w:sz w:val="32"/>
                <w:szCs w:val="32"/>
              </w:rPr>
              <w:t xml:space="preserve"> 年开发经营权，安吉农商银行</w:t>
            </w:r>
            <w:bookmarkStart w:id="136" w:name="_GoBack"/>
            <w:bookmarkEnd w:id="136"/>
            <w:r>
              <w:rPr>
                <w:rFonts w:hint="eastAsia" w:ascii="仿宋_GB2312" w:eastAsia="仿宋_GB2312"/>
                <w:sz w:val="32"/>
                <w:szCs w:val="32"/>
                <w:lang w:val="en-US" w:eastAsia="zh-CN"/>
              </w:rPr>
              <w:t>向其发放1000万元“水权贷”专项贷款</w:t>
            </w:r>
            <w:r>
              <w:rPr>
                <w:rFonts w:hint="eastAsia" w:ascii="仿宋_GB2312" w:eastAsia="仿宋_GB2312"/>
                <w:sz w:val="32"/>
                <w:szCs w:val="32"/>
              </w:rPr>
              <w:t xml:space="preserve">。这不仅能盘活村集体无形资产，预计每年直接为村集体增收 </w:t>
            </w:r>
            <w:r>
              <w:rPr>
                <w:rFonts w:hint="default" w:ascii="Times New Roman" w:hAnsi="Times New Roman" w:eastAsia="仿宋_GB2312" w:cs="Times New Roman"/>
                <w:sz w:val="32"/>
                <w:szCs w:val="32"/>
              </w:rPr>
              <w:t>80</w:t>
            </w:r>
            <w:r>
              <w:rPr>
                <w:rFonts w:hint="eastAsia" w:ascii="仿宋_GB2312" w:eastAsia="仿宋_GB2312"/>
                <w:sz w:val="32"/>
                <w:szCs w:val="32"/>
              </w:rPr>
              <w:t>万元，</w:t>
            </w:r>
            <w:r>
              <w:rPr>
                <w:rFonts w:hint="eastAsia" w:ascii="Times New Roman" w:hAnsi="Times New Roman" w:eastAsia="仿宋_GB2312" w:cs="Times New Roman"/>
                <w:sz w:val="32"/>
                <w:szCs w:val="32"/>
              </w:rPr>
              <w:t>用于河流生态修复等水土保持功能巩固提升和村民共富创收，</w:t>
            </w:r>
            <w:r>
              <w:rPr>
                <w:rFonts w:hint="eastAsia" w:ascii="仿宋_GB2312" w:eastAsia="仿宋_GB2312"/>
                <w:sz w:val="32"/>
                <w:szCs w:val="32"/>
              </w:rPr>
              <w:t>还将带动发展周边民宿业、餐饮业、手工艺品销售等相关产业链，形成多元化经济增长极。</w:t>
            </w:r>
          </w:p>
          <w:p w14:paraId="250977DA">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val="en-US" w:eastAsia="zh-CN"/>
              </w:rPr>
              <w:t>经验启示</w:t>
            </w:r>
          </w:p>
          <w:p w14:paraId="331AE82E">
            <w:pPr>
              <w:spacing w:line="560" w:lineRule="exact"/>
              <w:ind w:firstLine="640" w:firstLineChars="200"/>
              <w:rPr>
                <w:rFonts w:eastAsia="仿宋_GB2312"/>
                <w:sz w:val="32"/>
                <w:szCs w:val="32"/>
                <w:u w:color="000000"/>
                <w:lang w:val="zh-TW"/>
              </w:rPr>
            </w:pPr>
            <w:r>
              <w:rPr>
                <w:rFonts w:hint="eastAsia" w:ascii="仿宋_GB2312" w:eastAsia="仿宋_GB2312"/>
                <w:sz w:val="32"/>
                <w:szCs w:val="32"/>
              </w:rPr>
              <w:t>经浙江省水利厅初步估算，浙江省</w:t>
            </w:r>
            <w:r>
              <w:rPr>
                <w:rFonts w:hint="default" w:ascii="Times New Roman" w:hAnsi="Times New Roman" w:eastAsia="仿宋_GB2312" w:cs="Times New Roman"/>
                <w:sz w:val="32"/>
                <w:szCs w:val="32"/>
              </w:rPr>
              <w:t>2495</w:t>
            </w:r>
            <w:r>
              <w:rPr>
                <w:rFonts w:hint="eastAsia" w:ascii="仿宋_GB2312" w:eastAsia="仿宋_GB2312"/>
                <w:sz w:val="32"/>
                <w:szCs w:val="32"/>
              </w:rPr>
              <w:t>个小流域水土保持生态产品价值潜力达数百亿元。目前，浙江省水利厅、省发展改革委、省财政厅、省生态环境厅已联合印发《关于加快推进水土保持生态产品价值实现的意见》，到</w:t>
            </w:r>
            <w:r>
              <w:rPr>
                <w:rFonts w:hint="default" w:ascii="Times New Roman" w:hAnsi="Times New Roman" w:eastAsia="仿宋_GB2312" w:cs="Times New Roman"/>
                <w:sz w:val="32"/>
                <w:szCs w:val="32"/>
              </w:rPr>
              <w:t>2027</w:t>
            </w:r>
            <w:r>
              <w:rPr>
                <w:rFonts w:hint="eastAsia" w:ascii="仿宋_GB2312" w:eastAsia="仿宋_GB2312"/>
                <w:sz w:val="32"/>
                <w:szCs w:val="32"/>
              </w:rPr>
              <w:t>年，具有浙江特色的水土保持产品价值实现路径有望基本形成，试点地区水土保持生态产品价值转化金额超</w:t>
            </w:r>
            <w:r>
              <w:rPr>
                <w:rFonts w:hint="default" w:ascii="Times New Roman" w:hAnsi="Times New Roman" w:eastAsia="仿宋_GB2312" w:cs="Times New Roman"/>
                <w:sz w:val="32"/>
                <w:szCs w:val="32"/>
              </w:rPr>
              <w:t>3</w:t>
            </w:r>
            <w:r>
              <w:rPr>
                <w:rFonts w:hint="eastAsia" w:ascii="仿宋_GB2312" w:eastAsia="仿宋_GB2312"/>
                <w:sz w:val="32"/>
                <w:szCs w:val="32"/>
              </w:rPr>
              <w:t>亿元，辐射新业态发展增值超</w:t>
            </w:r>
            <w:r>
              <w:rPr>
                <w:rFonts w:hint="default" w:ascii="Times New Roman" w:hAnsi="Times New Roman" w:eastAsia="仿宋_GB2312" w:cs="Times New Roman"/>
                <w:sz w:val="32"/>
                <w:szCs w:val="32"/>
              </w:rPr>
              <w:t>10</w:t>
            </w:r>
            <w:r>
              <w:rPr>
                <w:rFonts w:hint="eastAsia" w:ascii="仿宋_GB2312" w:eastAsia="仿宋_GB2312"/>
                <w:sz w:val="32"/>
                <w:szCs w:val="32"/>
              </w:rPr>
              <w:t>亿元。湖州市共有苕溪、杭嘉湖平原、长兴三大水系，总面积约</w:t>
            </w:r>
            <w:r>
              <w:rPr>
                <w:rFonts w:hint="default" w:ascii="Times New Roman" w:hAnsi="Times New Roman" w:eastAsia="仿宋_GB2312" w:cs="Times New Roman"/>
                <w:sz w:val="32"/>
                <w:szCs w:val="32"/>
              </w:rPr>
              <w:t>5818</w:t>
            </w:r>
            <w:r>
              <w:rPr>
                <w:rFonts w:hint="eastAsia" w:ascii="仿宋_GB2312" w:eastAsia="仿宋_GB2312"/>
                <w:sz w:val="32"/>
                <w:szCs w:val="32"/>
              </w:rPr>
              <w:t>平方千米。因此，做好“水”的文章，大有可为，前景可期。作为金融机构，安吉农商银行将充分发挥绿色金融在助力生态价值实现中的重要作用，加快发展新质生产力，促进产业生态化和生态产业化</w:t>
            </w:r>
            <w:r>
              <w:rPr>
                <w:rFonts w:hint="eastAsia" w:ascii="仿宋_GB2312" w:eastAsia="仿宋_GB2312"/>
                <w:sz w:val="32"/>
                <w:szCs w:val="32"/>
                <w:lang w:eastAsia="zh-CN"/>
              </w:rPr>
              <w:t>。</w:t>
            </w:r>
          </w:p>
        </w:tc>
      </w:tr>
    </w:tbl>
    <w:p w14:paraId="2B3CAD78">
      <w:pPr>
        <w:pStyle w:val="2"/>
        <w:rPr>
          <w:rFonts w:ascii="Times New Roman" w:hAnsi="Times New Roman"/>
          <w:color w:val="000000"/>
          <w:u w:color="000000"/>
          <w:lang w:val="en-US"/>
        </w:rPr>
      </w:pPr>
      <w:bookmarkStart w:id="134" w:name="_Toc70665270"/>
    </w:p>
    <w:p w14:paraId="51D7A90A">
      <w:pPr>
        <w:pStyle w:val="2"/>
        <w:ind w:firstLine="640"/>
        <w:rPr>
          <w:rFonts w:ascii="Times New Roman" w:hAnsi="Times New Roman"/>
        </w:rPr>
      </w:pPr>
      <w:bookmarkStart w:id="135" w:name="_Toc17551"/>
      <w:r>
        <w:rPr>
          <w:rFonts w:ascii="Times New Roman" w:hAnsi="Times New Roman"/>
          <w:color w:val="000000"/>
          <w:u w:color="000000"/>
          <w:lang w:val="en-US"/>
        </w:rPr>
        <w:t>9绿色项目</w:t>
      </w:r>
      <w:bookmarkEnd w:id="134"/>
      <w:bookmarkEnd w:id="135"/>
    </w:p>
    <w:p w14:paraId="4F0292C1">
      <w:pPr>
        <w:spacing w:line="560" w:lineRule="exact"/>
        <w:ind w:firstLine="640" w:firstLineChars="200"/>
        <w:rPr>
          <w:rFonts w:eastAsia="仿宋_GB2312"/>
          <w:color w:val="000000"/>
          <w:sz w:val="32"/>
          <w:szCs w:val="32"/>
          <w:u w:color="000000"/>
          <w:lang w:val="zh-TW"/>
        </w:rPr>
      </w:pPr>
      <w:r>
        <w:rPr>
          <w:rFonts w:eastAsia="仿宋_GB2312"/>
          <w:sz w:val="32"/>
          <w:szCs w:val="32"/>
          <w:u w:color="000000"/>
          <w:lang w:val="zh-TW"/>
        </w:rPr>
        <w:t>截</w:t>
      </w:r>
      <w:r>
        <w:rPr>
          <w:rFonts w:hint="eastAsia" w:eastAsia="仿宋_GB2312"/>
          <w:color w:val="000000"/>
          <w:sz w:val="32"/>
          <w:szCs w:val="32"/>
          <w:u w:color="000000"/>
          <w:lang w:val="zh-TW"/>
        </w:rPr>
        <w:t>至202</w:t>
      </w:r>
      <w:r>
        <w:rPr>
          <w:rFonts w:hint="eastAsia" w:eastAsia="仿宋_GB2312"/>
          <w:color w:val="000000"/>
          <w:sz w:val="32"/>
          <w:szCs w:val="32"/>
          <w:u w:color="000000"/>
        </w:rPr>
        <w:t>4</w:t>
      </w:r>
      <w:r>
        <w:rPr>
          <w:rFonts w:hint="eastAsia" w:eastAsia="仿宋_GB2312"/>
          <w:color w:val="000000"/>
          <w:sz w:val="32"/>
          <w:szCs w:val="32"/>
          <w:u w:color="000000"/>
          <w:lang w:val="zh-TW"/>
        </w:rPr>
        <w:t>年12月末，本行无1亿元以上绿色项目贷款。</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4354BD-E2D6-4457-94A7-85816E20B6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2" w:fontKey="{1C0AC9D5-4986-4BD0-9D51-A884DEDEB71A}"/>
  </w:font>
  <w:font w:name="等线">
    <w:panose1 w:val="02010600030101010101"/>
    <w:charset w:val="86"/>
    <w:family w:val="auto"/>
    <w:pitch w:val="default"/>
    <w:sig w:usb0="A00002BF" w:usb1="38CF7CFA" w:usb2="00000016" w:usb3="00000000" w:csb0="0004000F" w:csb1="00000000"/>
    <w:embedRegular r:id="rId3" w:fontKey="{44F842CA-BDF4-4BD5-9E2B-8586C058B57F}"/>
  </w:font>
  <w:font w:name="仿宋_GB2312">
    <w:panose1 w:val="02010609030101010101"/>
    <w:charset w:val="86"/>
    <w:family w:val="modern"/>
    <w:pitch w:val="default"/>
    <w:sig w:usb0="00000001" w:usb1="080E0000" w:usb2="00000000" w:usb3="00000000" w:csb0="00040000" w:csb1="00000000"/>
    <w:embedRegular r:id="rId4" w:fontKey="{D4F92E62-22CD-40F7-9E21-43A067835513}"/>
  </w:font>
  <w:font w:name="微软雅黑">
    <w:panose1 w:val="020B0503020204020204"/>
    <w:charset w:val="86"/>
    <w:family w:val="swiss"/>
    <w:pitch w:val="default"/>
    <w:sig w:usb0="80000287" w:usb1="2ACF3C50" w:usb2="00000016" w:usb3="00000000" w:csb0="0004001F" w:csb1="00000000"/>
    <w:embedRegular r:id="rId5" w:fontKey="{209D01C5-CF01-429D-8666-34D7C0EF8F82}"/>
  </w:font>
  <w:font w:name="楷体">
    <w:panose1 w:val="02010609060101010101"/>
    <w:charset w:val="86"/>
    <w:family w:val="modern"/>
    <w:pitch w:val="default"/>
    <w:sig w:usb0="800002BF" w:usb1="38CF7CFA" w:usb2="00000016" w:usb3="00000000" w:csb0="00040001" w:csb1="00000000"/>
    <w:embedRegular r:id="rId6" w:fontKey="{C51E5DEA-A6C1-4EF7-952E-8A63FE664E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0FD6">
    <w:pPr>
      <w:pStyle w:val="10"/>
      <w:ind w:firstLine="361"/>
      <w:jc w:val="cente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AEA86">
                          <w:pPr>
                            <w:pStyle w:val="10"/>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31</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32</w:t>
                          </w:r>
                          <w:r>
                            <w:rPr>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E0AEA86">
                    <w:pPr>
                      <w:pStyle w:val="10"/>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31</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32</w:t>
                    </w:r>
                    <w:r>
                      <w:rPr>
                        <w:bCs/>
                        <w:sz w:val="24"/>
                        <w:szCs w:val="24"/>
                      </w:rPr>
                      <w:fldChar w:fldCharType="end"/>
                    </w:r>
                  </w:p>
                </w:txbxContent>
              </v:textbox>
            </v:shape>
          </w:pict>
        </mc:Fallback>
      </mc:AlternateContent>
    </w:r>
  </w:p>
  <w:p w14:paraId="056D6E18">
    <w:pPr>
      <w:pStyle w:val="10"/>
      <w:ind w:firstLine="36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ZjFlM2I5MGM4MzJkOTI0ODI5YzFkYWMxOWMzNjYifQ=="/>
  </w:docVars>
  <w:rsids>
    <w:rsidRoot w:val="32091D66"/>
    <w:rsid w:val="000016D7"/>
    <w:rsid w:val="000329C2"/>
    <w:rsid w:val="000571C8"/>
    <w:rsid w:val="000601BB"/>
    <w:rsid w:val="00071BFA"/>
    <w:rsid w:val="00074E18"/>
    <w:rsid w:val="000A1224"/>
    <w:rsid w:val="000A2ED6"/>
    <w:rsid w:val="000B5C73"/>
    <w:rsid w:val="000C1D1C"/>
    <w:rsid w:val="000D46BC"/>
    <w:rsid w:val="000E0631"/>
    <w:rsid w:val="000F50DC"/>
    <w:rsid w:val="000F5550"/>
    <w:rsid w:val="00101E79"/>
    <w:rsid w:val="001103FD"/>
    <w:rsid w:val="00116EFC"/>
    <w:rsid w:val="00125120"/>
    <w:rsid w:val="00125684"/>
    <w:rsid w:val="0014764F"/>
    <w:rsid w:val="00153BEA"/>
    <w:rsid w:val="00153E51"/>
    <w:rsid w:val="001640E7"/>
    <w:rsid w:val="00167D20"/>
    <w:rsid w:val="0017180F"/>
    <w:rsid w:val="00173601"/>
    <w:rsid w:val="0018443A"/>
    <w:rsid w:val="001951B0"/>
    <w:rsid w:val="001B74A4"/>
    <w:rsid w:val="001E4134"/>
    <w:rsid w:val="0020046F"/>
    <w:rsid w:val="002228D4"/>
    <w:rsid w:val="00234AF0"/>
    <w:rsid w:val="002355CB"/>
    <w:rsid w:val="00257402"/>
    <w:rsid w:val="002717AC"/>
    <w:rsid w:val="00277678"/>
    <w:rsid w:val="002824D6"/>
    <w:rsid w:val="00293998"/>
    <w:rsid w:val="002C0D1C"/>
    <w:rsid w:val="002C7E15"/>
    <w:rsid w:val="002E6D26"/>
    <w:rsid w:val="003028EA"/>
    <w:rsid w:val="00312D96"/>
    <w:rsid w:val="00321DD8"/>
    <w:rsid w:val="00337D30"/>
    <w:rsid w:val="00377D0E"/>
    <w:rsid w:val="003A37C7"/>
    <w:rsid w:val="003A6397"/>
    <w:rsid w:val="003C4E47"/>
    <w:rsid w:val="003D1BF0"/>
    <w:rsid w:val="003E111C"/>
    <w:rsid w:val="00406875"/>
    <w:rsid w:val="004164CF"/>
    <w:rsid w:val="0046268C"/>
    <w:rsid w:val="004756A4"/>
    <w:rsid w:val="00496BD3"/>
    <w:rsid w:val="0049740F"/>
    <w:rsid w:val="004B08D9"/>
    <w:rsid w:val="004C3424"/>
    <w:rsid w:val="00500138"/>
    <w:rsid w:val="00504873"/>
    <w:rsid w:val="005105A4"/>
    <w:rsid w:val="00510A73"/>
    <w:rsid w:val="00533546"/>
    <w:rsid w:val="00533B1C"/>
    <w:rsid w:val="00545C47"/>
    <w:rsid w:val="00585EE0"/>
    <w:rsid w:val="005D34DE"/>
    <w:rsid w:val="005E17A1"/>
    <w:rsid w:val="005E2DFC"/>
    <w:rsid w:val="005E3D35"/>
    <w:rsid w:val="00612173"/>
    <w:rsid w:val="00617801"/>
    <w:rsid w:val="00620111"/>
    <w:rsid w:val="0063581D"/>
    <w:rsid w:val="006436BC"/>
    <w:rsid w:val="00656EA5"/>
    <w:rsid w:val="006660B9"/>
    <w:rsid w:val="00693520"/>
    <w:rsid w:val="006B7904"/>
    <w:rsid w:val="006C7535"/>
    <w:rsid w:val="006D76B9"/>
    <w:rsid w:val="0070364C"/>
    <w:rsid w:val="00712CAF"/>
    <w:rsid w:val="007136C2"/>
    <w:rsid w:val="0072284C"/>
    <w:rsid w:val="00725C1C"/>
    <w:rsid w:val="00753F86"/>
    <w:rsid w:val="00794AB2"/>
    <w:rsid w:val="00795406"/>
    <w:rsid w:val="007B19DF"/>
    <w:rsid w:val="007B7DAE"/>
    <w:rsid w:val="007E08AB"/>
    <w:rsid w:val="007E4A7E"/>
    <w:rsid w:val="007E6BC0"/>
    <w:rsid w:val="0080233B"/>
    <w:rsid w:val="00810B21"/>
    <w:rsid w:val="00814E25"/>
    <w:rsid w:val="008205DE"/>
    <w:rsid w:val="00821B82"/>
    <w:rsid w:val="00822393"/>
    <w:rsid w:val="00856BA4"/>
    <w:rsid w:val="008626C0"/>
    <w:rsid w:val="00876052"/>
    <w:rsid w:val="008846AD"/>
    <w:rsid w:val="008A4761"/>
    <w:rsid w:val="008A623B"/>
    <w:rsid w:val="008C107F"/>
    <w:rsid w:val="008C25FD"/>
    <w:rsid w:val="008D09B3"/>
    <w:rsid w:val="008F21F4"/>
    <w:rsid w:val="009236AE"/>
    <w:rsid w:val="00923833"/>
    <w:rsid w:val="00926FDF"/>
    <w:rsid w:val="009410B0"/>
    <w:rsid w:val="00941EF2"/>
    <w:rsid w:val="00955B86"/>
    <w:rsid w:val="0096728D"/>
    <w:rsid w:val="00982FA7"/>
    <w:rsid w:val="00996E99"/>
    <w:rsid w:val="009A2EF5"/>
    <w:rsid w:val="009B4ACC"/>
    <w:rsid w:val="009B5036"/>
    <w:rsid w:val="009C72E1"/>
    <w:rsid w:val="009F4D84"/>
    <w:rsid w:val="009F707A"/>
    <w:rsid w:val="00A0796A"/>
    <w:rsid w:val="00A17F4E"/>
    <w:rsid w:val="00A34B81"/>
    <w:rsid w:val="00A40542"/>
    <w:rsid w:val="00A46331"/>
    <w:rsid w:val="00A47314"/>
    <w:rsid w:val="00A56C0E"/>
    <w:rsid w:val="00A612ED"/>
    <w:rsid w:val="00A617E1"/>
    <w:rsid w:val="00A82E08"/>
    <w:rsid w:val="00AA2476"/>
    <w:rsid w:val="00AB205D"/>
    <w:rsid w:val="00B13A13"/>
    <w:rsid w:val="00B653F2"/>
    <w:rsid w:val="00B6601C"/>
    <w:rsid w:val="00B96004"/>
    <w:rsid w:val="00BA0599"/>
    <w:rsid w:val="00BA5C72"/>
    <w:rsid w:val="00BE1C6A"/>
    <w:rsid w:val="00BF0E8C"/>
    <w:rsid w:val="00C00026"/>
    <w:rsid w:val="00C07AF5"/>
    <w:rsid w:val="00C129B0"/>
    <w:rsid w:val="00C422F6"/>
    <w:rsid w:val="00C721F8"/>
    <w:rsid w:val="00C824A7"/>
    <w:rsid w:val="00C860FA"/>
    <w:rsid w:val="00CA098D"/>
    <w:rsid w:val="00CA4EE9"/>
    <w:rsid w:val="00CB56A3"/>
    <w:rsid w:val="00CE364F"/>
    <w:rsid w:val="00D23242"/>
    <w:rsid w:val="00D4220E"/>
    <w:rsid w:val="00D52134"/>
    <w:rsid w:val="00D81675"/>
    <w:rsid w:val="00D86D02"/>
    <w:rsid w:val="00D87CDD"/>
    <w:rsid w:val="00D96F43"/>
    <w:rsid w:val="00DA4BAA"/>
    <w:rsid w:val="00DA7127"/>
    <w:rsid w:val="00DC54B0"/>
    <w:rsid w:val="00DD05E5"/>
    <w:rsid w:val="00DD2239"/>
    <w:rsid w:val="00DE0A2C"/>
    <w:rsid w:val="00DF762D"/>
    <w:rsid w:val="00E03EA0"/>
    <w:rsid w:val="00E0440F"/>
    <w:rsid w:val="00E07512"/>
    <w:rsid w:val="00E2791A"/>
    <w:rsid w:val="00E36ACD"/>
    <w:rsid w:val="00E55D49"/>
    <w:rsid w:val="00E61EAD"/>
    <w:rsid w:val="00E712B3"/>
    <w:rsid w:val="00EA5AFA"/>
    <w:rsid w:val="00EA751B"/>
    <w:rsid w:val="00EC262A"/>
    <w:rsid w:val="00EC382A"/>
    <w:rsid w:val="00ED5301"/>
    <w:rsid w:val="00ED7138"/>
    <w:rsid w:val="00EE4369"/>
    <w:rsid w:val="00F242FB"/>
    <w:rsid w:val="00F46DB3"/>
    <w:rsid w:val="00F526F1"/>
    <w:rsid w:val="00F804CC"/>
    <w:rsid w:val="00F85B88"/>
    <w:rsid w:val="00F9234D"/>
    <w:rsid w:val="00F94E15"/>
    <w:rsid w:val="00FA0F0A"/>
    <w:rsid w:val="00FA573D"/>
    <w:rsid w:val="00FD5793"/>
    <w:rsid w:val="00FE5AA2"/>
    <w:rsid w:val="00FF03E1"/>
    <w:rsid w:val="00FF3853"/>
    <w:rsid w:val="011253ED"/>
    <w:rsid w:val="01154EDD"/>
    <w:rsid w:val="012313A8"/>
    <w:rsid w:val="015974C0"/>
    <w:rsid w:val="01814321"/>
    <w:rsid w:val="01961FCB"/>
    <w:rsid w:val="019B2169"/>
    <w:rsid w:val="01CA216C"/>
    <w:rsid w:val="01CA3F1A"/>
    <w:rsid w:val="02025461"/>
    <w:rsid w:val="023E367D"/>
    <w:rsid w:val="028C11CF"/>
    <w:rsid w:val="02902A6D"/>
    <w:rsid w:val="02B80216"/>
    <w:rsid w:val="02EB4148"/>
    <w:rsid w:val="0313544C"/>
    <w:rsid w:val="03655CA8"/>
    <w:rsid w:val="03BB2529"/>
    <w:rsid w:val="03D1158F"/>
    <w:rsid w:val="03FF434E"/>
    <w:rsid w:val="041D1E8F"/>
    <w:rsid w:val="041D6583"/>
    <w:rsid w:val="044A4F10"/>
    <w:rsid w:val="046E5030"/>
    <w:rsid w:val="04C12C82"/>
    <w:rsid w:val="05177476"/>
    <w:rsid w:val="05376DC5"/>
    <w:rsid w:val="06426774"/>
    <w:rsid w:val="06CC603E"/>
    <w:rsid w:val="06F7755F"/>
    <w:rsid w:val="0753050D"/>
    <w:rsid w:val="079E5C2C"/>
    <w:rsid w:val="08161C67"/>
    <w:rsid w:val="085E716A"/>
    <w:rsid w:val="08756096"/>
    <w:rsid w:val="08966904"/>
    <w:rsid w:val="08B1198F"/>
    <w:rsid w:val="08EE6ECC"/>
    <w:rsid w:val="09130CC3"/>
    <w:rsid w:val="092D1E0F"/>
    <w:rsid w:val="09652EA6"/>
    <w:rsid w:val="097A6225"/>
    <w:rsid w:val="09842C00"/>
    <w:rsid w:val="09AF2373"/>
    <w:rsid w:val="09B2755F"/>
    <w:rsid w:val="0A062210"/>
    <w:rsid w:val="0A285C81"/>
    <w:rsid w:val="0A3D6817"/>
    <w:rsid w:val="0AAB766A"/>
    <w:rsid w:val="0AEC7FF8"/>
    <w:rsid w:val="0AEE6B75"/>
    <w:rsid w:val="0B057D70"/>
    <w:rsid w:val="0B1C3A38"/>
    <w:rsid w:val="0B1D50BA"/>
    <w:rsid w:val="0B420FC5"/>
    <w:rsid w:val="0B8B471A"/>
    <w:rsid w:val="0B941820"/>
    <w:rsid w:val="0BAD28E2"/>
    <w:rsid w:val="0BC030EF"/>
    <w:rsid w:val="0BC83278"/>
    <w:rsid w:val="0BF73B5D"/>
    <w:rsid w:val="0BFC6504"/>
    <w:rsid w:val="0C8D626F"/>
    <w:rsid w:val="0C992C37"/>
    <w:rsid w:val="0C9E047D"/>
    <w:rsid w:val="0CCC323C"/>
    <w:rsid w:val="0CE51C08"/>
    <w:rsid w:val="0DE311B6"/>
    <w:rsid w:val="0DFC66F4"/>
    <w:rsid w:val="0E0A588C"/>
    <w:rsid w:val="0E0C0D2B"/>
    <w:rsid w:val="0E9A0706"/>
    <w:rsid w:val="0EED1247"/>
    <w:rsid w:val="0EED67CB"/>
    <w:rsid w:val="0F625791"/>
    <w:rsid w:val="10476C2D"/>
    <w:rsid w:val="10594DE6"/>
    <w:rsid w:val="10795489"/>
    <w:rsid w:val="109C4CD3"/>
    <w:rsid w:val="10A371A1"/>
    <w:rsid w:val="1110186D"/>
    <w:rsid w:val="115253E7"/>
    <w:rsid w:val="11994D85"/>
    <w:rsid w:val="119D4DB9"/>
    <w:rsid w:val="11B912A9"/>
    <w:rsid w:val="11D64215"/>
    <w:rsid w:val="11D84431"/>
    <w:rsid w:val="124C53BF"/>
    <w:rsid w:val="12535865"/>
    <w:rsid w:val="126161D4"/>
    <w:rsid w:val="129B16E6"/>
    <w:rsid w:val="12A72D14"/>
    <w:rsid w:val="1339042E"/>
    <w:rsid w:val="13433B2C"/>
    <w:rsid w:val="135B0D44"/>
    <w:rsid w:val="136E6DFB"/>
    <w:rsid w:val="13C1778D"/>
    <w:rsid w:val="14103A0E"/>
    <w:rsid w:val="14353475"/>
    <w:rsid w:val="14603804"/>
    <w:rsid w:val="14AD3953"/>
    <w:rsid w:val="155B4A7D"/>
    <w:rsid w:val="15671D54"/>
    <w:rsid w:val="157D1577"/>
    <w:rsid w:val="1582610E"/>
    <w:rsid w:val="15883A78"/>
    <w:rsid w:val="15A8004B"/>
    <w:rsid w:val="16071810"/>
    <w:rsid w:val="160F588C"/>
    <w:rsid w:val="164C3300"/>
    <w:rsid w:val="16734728"/>
    <w:rsid w:val="16E41182"/>
    <w:rsid w:val="16F75359"/>
    <w:rsid w:val="16FA2753"/>
    <w:rsid w:val="170F61FF"/>
    <w:rsid w:val="173A688C"/>
    <w:rsid w:val="1784381E"/>
    <w:rsid w:val="17E91386"/>
    <w:rsid w:val="18754787"/>
    <w:rsid w:val="18F7519C"/>
    <w:rsid w:val="191C4C03"/>
    <w:rsid w:val="195C6C8F"/>
    <w:rsid w:val="19772A79"/>
    <w:rsid w:val="198804EA"/>
    <w:rsid w:val="19A67837"/>
    <w:rsid w:val="19A846E9"/>
    <w:rsid w:val="19B47531"/>
    <w:rsid w:val="19ED0DE8"/>
    <w:rsid w:val="19FB6838"/>
    <w:rsid w:val="1A444411"/>
    <w:rsid w:val="1A4F434F"/>
    <w:rsid w:val="1A5003B0"/>
    <w:rsid w:val="1A890175"/>
    <w:rsid w:val="1A9F789A"/>
    <w:rsid w:val="1AD67034"/>
    <w:rsid w:val="1ADC0AEE"/>
    <w:rsid w:val="1B2C6FE4"/>
    <w:rsid w:val="1B5E0712"/>
    <w:rsid w:val="1B5F12B0"/>
    <w:rsid w:val="1BB90E2F"/>
    <w:rsid w:val="1BD47A17"/>
    <w:rsid w:val="1BDE43F2"/>
    <w:rsid w:val="1BE614F8"/>
    <w:rsid w:val="1C033E58"/>
    <w:rsid w:val="1C19367C"/>
    <w:rsid w:val="1C220782"/>
    <w:rsid w:val="1C4A5188"/>
    <w:rsid w:val="1C676ADD"/>
    <w:rsid w:val="1C89778E"/>
    <w:rsid w:val="1CD557F5"/>
    <w:rsid w:val="1D2322DE"/>
    <w:rsid w:val="1D267CD1"/>
    <w:rsid w:val="1D426240"/>
    <w:rsid w:val="1D60264F"/>
    <w:rsid w:val="1D61177E"/>
    <w:rsid w:val="1D62071D"/>
    <w:rsid w:val="1D731E2A"/>
    <w:rsid w:val="1D7A45EE"/>
    <w:rsid w:val="1D884F5D"/>
    <w:rsid w:val="1E380731"/>
    <w:rsid w:val="1E560BB7"/>
    <w:rsid w:val="1E7E5D3E"/>
    <w:rsid w:val="1EB20626"/>
    <w:rsid w:val="1EEA12FF"/>
    <w:rsid w:val="1EF2649B"/>
    <w:rsid w:val="1F464788"/>
    <w:rsid w:val="202577FD"/>
    <w:rsid w:val="202D5948"/>
    <w:rsid w:val="202F1635"/>
    <w:rsid w:val="2037614E"/>
    <w:rsid w:val="20451CEE"/>
    <w:rsid w:val="208C266E"/>
    <w:rsid w:val="20C20786"/>
    <w:rsid w:val="20DC0872"/>
    <w:rsid w:val="21521B0A"/>
    <w:rsid w:val="21562C7C"/>
    <w:rsid w:val="216D06F2"/>
    <w:rsid w:val="21924322"/>
    <w:rsid w:val="21C20186"/>
    <w:rsid w:val="21CC6196"/>
    <w:rsid w:val="223E664E"/>
    <w:rsid w:val="22496F2E"/>
    <w:rsid w:val="22A9674F"/>
    <w:rsid w:val="22F504E6"/>
    <w:rsid w:val="23243032"/>
    <w:rsid w:val="233D2346"/>
    <w:rsid w:val="236C49D9"/>
    <w:rsid w:val="237819DD"/>
    <w:rsid w:val="23D72CE5"/>
    <w:rsid w:val="23E328DC"/>
    <w:rsid w:val="24104E8E"/>
    <w:rsid w:val="243840DE"/>
    <w:rsid w:val="243C43AB"/>
    <w:rsid w:val="24575689"/>
    <w:rsid w:val="24676F0B"/>
    <w:rsid w:val="2476679E"/>
    <w:rsid w:val="249B37C8"/>
    <w:rsid w:val="2536529E"/>
    <w:rsid w:val="25496D80"/>
    <w:rsid w:val="255D6CCF"/>
    <w:rsid w:val="25900618"/>
    <w:rsid w:val="259F425C"/>
    <w:rsid w:val="25A60F16"/>
    <w:rsid w:val="25D67752"/>
    <w:rsid w:val="26154EB4"/>
    <w:rsid w:val="26192BF6"/>
    <w:rsid w:val="264B4D7A"/>
    <w:rsid w:val="268F2B83"/>
    <w:rsid w:val="269404CF"/>
    <w:rsid w:val="26CD7D8A"/>
    <w:rsid w:val="26E2748C"/>
    <w:rsid w:val="26EE4083"/>
    <w:rsid w:val="26FE3B9A"/>
    <w:rsid w:val="27165388"/>
    <w:rsid w:val="274041B2"/>
    <w:rsid w:val="2745042D"/>
    <w:rsid w:val="274D0A16"/>
    <w:rsid w:val="277D7441"/>
    <w:rsid w:val="278717FE"/>
    <w:rsid w:val="27DF421F"/>
    <w:rsid w:val="27E3172A"/>
    <w:rsid w:val="286B1A6F"/>
    <w:rsid w:val="286D7229"/>
    <w:rsid w:val="288D1679"/>
    <w:rsid w:val="28BA1D43"/>
    <w:rsid w:val="28DE1ED5"/>
    <w:rsid w:val="28F90ABD"/>
    <w:rsid w:val="28FE4325"/>
    <w:rsid w:val="291D29FD"/>
    <w:rsid w:val="299B6018"/>
    <w:rsid w:val="29B844D4"/>
    <w:rsid w:val="29F37C02"/>
    <w:rsid w:val="2A495A74"/>
    <w:rsid w:val="2A4D7312"/>
    <w:rsid w:val="2A587A65"/>
    <w:rsid w:val="2A726D79"/>
    <w:rsid w:val="2A826AA1"/>
    <w:rsid w:val="2AD12AEE"/>
    <w:rsid w:val="2AFB6D6E"/>
    <w:rsid w:val="2B1700A6"/>
    <w:rsid w:val="2B595843"/>
    <w:rsid w:val="2BB340BE"/>
    <w:rsid w:val="2BC039B7"/>
    <w:rsid w:val="2BE710A1"/>
    <w:rsid w:val="2C2071EA"/>
    <w:rsid w:val="2C746399"/>
    <w:rsid w:val="2C931228"/>
    <w:rsid w:val="2CBC0CB9"/>
    <w:rsid w:val="2CCF79A7"/>
    <w:rsid w:val="2CE43832"/>
    <w:rsid w:val="2CE91CA3"/>
    <w:rsid w:val="2D1B54A6"/>
    <w:rsid w:val="2D2A393B"/>
    <w:rsid w:val="2D2F116F"/>
    <w:rsid w:val="2D3177BA"/>
    <w:rsid w:val="2D4B38B1"/>
    <w:rsid w:val="2D945258"/>
    <w:rsid w:val="2D962D7E"/>
    <w:rsid w:val="2DAC25A2"/>
    <w:rsid w:val="2DFD7CCB"/>
    <w:rsid w:val="2E1F2D74"/>
    <w:rsid w:val="2E291E44"/>
    <w:rsid w:val="2E8A384A"/>
    <w:rsid w:val="2EDC0C65"/>
    <w:rsid w:val="2EDC6C82"/>
    <w:rsid w:val="2F4B5DEA"/>
    <w:rsid w:val="2F6A44C2"/>
    <w:rsid w:val="2F882B9B"/>
    <w:rsid w:val="2F972DDE"/>
    <w:rsid w:val="2FAF45CB"/>
    <w:rsid w:val="30077F63"/>
    <w:rsid w:val="30422D49"/>
    <w:rsid w:val="30442F65"/>
    <w:rsid w:val="307B44AD"/>
    <w:rsid w:val="309A4933"/>
    <w:rsid w:val="30CB4915"/>
    <w:rsid w:val="30FE4B66"/>
    <w:rsid w:val="31AC7A80"/>
    <w:rsid w:val="31B248E8"/>
    <w:rsid w:val="31CF4AB1"/>
    <w:rsid w:val="31D53C08"/>
    <w:rsid w:val="32091D66"/>
    <w:rsid w:val="3268280F"/>
    <w:rsid w:val="329F3DDE"/>
    <w:rsid w:val="32B618AA"/>
    <w:rsid w:val="32E36BD1"/>
    <w:rsid w:val="32FB3683"/>
    <w:rsid w:val="33030335"/>
    <w:rsid w:val="3341378C"/>
    <w:rsid w:val="336A2CE3"/>
    <w:rsid w:val="33B71CA0"/>
    <w:rsid w:val="33CF5525"/>
    <w:rsid w:val="33E74334"/>
    <w:rsid w:val="33FE167D"/>
    <w:rsid w:val="33FE342B"/>
    <w:rsid w:val="341D5FA7"/>
    <w:rsid w:val="34406DD2"/>
    <w:rsid w:val="344277BC"/>
    <w:rsid w:val="34734E67"/>
    <w:rsid w:val="34833930"/>
    <w:rsid w:val="349B511E"/>
    <w:rsid w:val="34B25BE1"/>
    <w:rsid w:val="34EB1C02"/>
    <w:rsid w:val="35243365"/>
    <w:rsid w:val="354561B4"/>
    <w:rsid w:val="358D0F0B"/>
    <w:rsid w:val="35C67F79"/>
    <w:rsid w:val="35EC7C60"/>
    <w:rsid w:val="35F42D38"/>
    <w:rsid w:val="35FC7E3E"/>
    <w:rsid w:val="36140CE4"/>
    <w:rsid w:val="36714388"/>
    <w:rsid w:val="36B9188B"/>
    <w:rsid w:val="36CB2F0C"/>
    <w:rsid w:val="370B6585"/>
    <w:rsid w:val="3764353E"/>
    <w:rsid w:val="37734130"/>
    <w:rsid w:val="37861552"/>
    <w:rsid w:val="37894C95"/>
    <w:rsid w:val="378D42B4"/>
    <w:rsid w:val="378E7B4B"/>
    <w:rsid w:val="379F4F25"/>
    <w:rsid w:val="37B502A5"/>
    <w:rsid w:val="37B564F7"/>
    <w:rsid w:val="37C329C2"/>
    <w:rsid w:val="37F45B9A"/>
    <w:rsid w:val="380122CB"/>
    <w:rsid w:val="38312021"/>
    <w:rsid w:val="384004B6"/>
    <w:rsid w:val="384A6801"/>
    <w:rsid w:val="384D2BD3"/>
    <w:rsid w:val="38543F62"/>
    <w:rsid w:val="386012D7"/>
    <w:rsid w:val="38740160"/>
    <w:rsid w:val="38A71C05"/>
    <w:rsid w:val="38CD161E"/>
    <w:rsid w:val="391334D5"/>
    <w:rsid w:val="394713D0"/>
    <w:rsid w:val="397F500E"/>
    <w:rsid w:val="39900FC9"/>
    <w:rsid w:val="3A451DB4"/>
    <w:rsid w:val="3A4B1B6C"/>
    <w:rsid w:val="3A7D4B77"/>
    <w:rsid w:val="3A8F74D3"/>
    <w:rsid w:val="3B7566C9"/>
    <w:rsid w:val="3BA66882"/>
    <w:rsid w:val="3BE23632"/>
    <w:rsid w:val="3C017F5D"/>
    <w:rsid w:val="3C3C7CEC"/>
    <w:rsid w:val="3C601127"/>
    <w:rsid w:val="3C6F3118"/>
    <w:rsid w:val="3C830972"/>
    <w:rsid w:val="3C8666B4"/>
    <w:rsid w:val="3CA449FA"/>
    <w:rsid w:val="3E027FBC"/>
    <w:rsid w:val="3E8068BD"/>
    <w:rsid w:val="3EDC25BB"/>
    <w:rsid w:val="3EF24929"/>
    <w:rsid w:val="3F724CCD"/>
    <w:rsid w:val="3F7E3672"/>
    <w:rsid w:val="3F9A6389"/>
    <w:rsid w:val="3FC92B3F"/>
    <w:rsid w:val="3FEE6A4A"/>
    <w:rsid w:val="40387CC5"/>
    <w:rsid w:val="40880C4C"/>
    <w:rsid w:val="4098661B"/>
    <w:rsid w:val="40D519B8"/>
    <w:rsid w:val="40F57964"/>
    <w:rsid w:val="40FA5122"/>
    <w:rsid w:val="41195D48"/>
    <w:rsid w:val="41391F47"/>
    <w:rsid w:val="415E19AD"/>
    <w:rsid w:val="41726AB6"/>
    <w:rsid w:val="41850CE8"/>
    <w:rsid w:val="41967399"/>
    <w:rsid w:val="41B808ED"/>
    <w:rsid w:val="41B82E6B"/>
    <w:rsid w:val="41DD6D76"/>
    <w:rsid w:val="421C6A9D"/>
    <w:rsid w:val="423170C2"/>
    <w:rsid w:val="4246491B"/>
    <w:rsid w:val="42484F0B"/>
    <w:rsid w:val="424B1F31"/>
    <w:rsid w:val="42870A90"/>
    <w:rsid w:val="428B4A24"/>
    <w:rsid w:val="42AC6666"/>
    <w:rsid w:val="42B530EB"/>
    <w:rsid w:val="42DC702D"/>
    <w:rsid w:val="43884ABF"/>
    <w:rsid w:val="43A538C3"/>
    <w:rsid w:val="43B835F7"/>
    <w:rsid w:val="43BF2BD7"/>
    <w:rsid w:val="44352E99"/>
    <w:rsid w:val="449233F0"/>
    <w:rsid w:val="44AB7B40"/>
    <w:rsid w:val="455C4456"/>
    <w:rsid w:val="456B28EB"/>
    <w:rsid w:val="45FE72BB"/>
    <w:rsid w:val="462C207A"/>
    <w:rsid w:val="462E7BA0"/>
    <w:rsid w:val="46333408"/>
    <w:rsid w:val="469A6FE4"/>
    <w:rsid w:val="46C95B1B"/>
    <w:rsid w:val="46DA77E0"/>
    <w:rsid w:val="46DC584E"/>
    <w:rsid w:val="47136D96"/>
    <w:rsid w:val="47527C17"/>
    <w:rsid w:val="47DB5B06"/>
    <w:rsid w:val="47FF5A3D"/>
    <w:rsid w:val="48315726"/>
    <w:rsid w:val="48592ECE"/>
    <w:rsid w:val="489623CE"/>
    <w:rsid w:val="48CE1E02"/>
    <w:rsid w:val="48D72771"/>
    <w:rsid w:val="491237A9"/>
    <w:rsid w:val="49837252"/>
    <w:rsid w:val="499E6DEB"/>
    <w:rsid w:val="49DC7913"/>
    <w:rsid w:val="4A003601"/>
    <w:rsid w:val="4A1206CF"/>
    <w:rsid w:val="4A437992"/>
    <w:rsid w:val="4AC31639"/>
    <w:rsid w:val="4AD625B4"/>
    <w:rsid w:val="4B0F6F0C"/>
    <w:rsid w:val="4B345F5A"/>
    <w:rsid w:val="4B883A7B"/>
    <w:rsid w:val="4BEF740F"/>
    <w:rsid w:val="4C1F4075"/>
    <w:rsid w:val="4C4F7C2C"/>
    <w:rsid w:val="4C581CDB"/>
    <w:rsid w:val="4C8F17AC"/>
    <w:rsid w:val="4C8F3BD5"/>
    <w:rsid w:val="4CDA355F"/>
    <w:rsid w:val="4CFD651E"/>
    <w:rsid w:val="4D221AE1"/>
    <w:rsid w:val="4D8B20C6"/>
    <w:rsid w:val="4DC813F1"/>
    <w:rsid w:val="4DCB2178"/>
    <w:rsid w:val="4DDD5524"/>
    <w:rsid w:val="4DF27705"/>
    <w:rsid w:val="4E192CE9"/>
    <w:rsid w:val="4E1F4272"/>
    <w:rsid w:val="4E21623C"/>
    <w:rsid w:val="4E42314D"/>
    <w:rsid w:val="4EDE412D"/>
    <w:rsid w:val="4EF34B7E"/>
    <w:rsid w:val="4F0957C0"/>
    <w:rsid w:val="4F894099"/>
    <w:rsid w:val="4F967319"/>
    <w:rsid w:val="4FB37368"/>
    <w:rsid w:val="4FBA6948"/>
    <w:rsid w:val="4FD74E04"/>
    <w:rsid w:val="50493828"/>
    <w:rsid w:val="506A5C79"/>
    <w:rsid w:val="508F3931"/>
    <w:rsid w:val="50B213CE"/>
    <w:rsid w:val="50F11EF6"/>
    <w:rsid w:val="50F9756B"/>
    <w:rsid w:val="515A272F"/>
    <w:rsid w:val="515A3F3F"/>
    <w:rsid w:val="515D758B"/>
    <w:rsid w:val="51713037"/>
    <w:rsid w:val="517519BA"/>
    <w:rsid w:val="51842D6A"/>
    <w:rsid w:val="519136D9"/>
    <w:rsid w:val="51932FAD"/>
    <w:rsid w:val="52093642"/>
    <w:rsid w:val="525F10E1"/>
    <w:rsid w:val="52D63F42"/>
    <w:rsid w:val="52FF2D13"/>
    <w:rsid w:val="532C190B"/>
    <w:rsid w:val="53796DDC"/>
    <w:rsid w:val="539B25ED"/>
    <w:rsid w:val="53E2021C"/>
    <w:rsid w:val="53F73CC7"/>
    <w:rsid w:val="541C372E"/>
    <w:rsid w:val="54BC0A6D"/>
    <w:rsid w:val="54D9517B"/>
    <w:rsid w:val="55C45E2B"/>
    <w:rsid w:val="55E92A2C"/>
    <w:rsid w:val="56863D1F"/>
    <w:rsid w:val="56CD51B3"/>
    <w:rsid w:val="56D402F0"/>
    <w:rsid w:val="56E10C5F"/>
    <w:rsid w:val="56EA6E39"/>
    <w:rsid w:val="56FA587C"/>
    <w:rsid w:val="570010E5"/>
    <w:rsid w:val="571E5A0F"/>
    <w:rsid w:val="57480A98"/>
    <w:rsid w:val="57F8000E"/>
    <w:rsid w:val="57F87DC0"/>
    <w:rsid w:val="580469B3"/>
    <w:rsid w:val="580E5A83"/>
    <w:rsid w:val="583F272F"/>
    <w:rsid w:val="586D09FC"/>
    <w:rsid w:val="58A27F7A"/>
    <w:rsid w:val="595B4CF8"/>
    <w:rsid w:val="59C83A10"/>
    <w:rsid w:val="59EA1BD8"/>
    <w:rsid w:val="5A113609"/>
    <w:rsid w:val="5A3E3CB5"/>
    <w:rsid w:val="5A4E660B"/>
    <w:rsid w:val="5A551748"/>
    <w:rsid w:val="5AFB7D2F"/>
    <w:rsid w:val="5B092532"/>
    <w:rsid w:val="5B1036BE"/>
    <w:rsid w:val="5B4926A2"/>
    <w:rsid w:val="5B77749C"/>
    <w:rsid w:val="5B7F20BB"/>
    <w:rsid w:val="5BA1276A"/>
    <w:rsid w:val="5C0A5ADC"/>
    <w:rsid w:val="5C4F21C6"/>
    <w:rsid w:val="5C71213D"/>
    <w:rsid w:val="5CC42BB4"/>
    <w:rsid w:val="5D0E2082"/>
    <w:rsid w:val="5D2673CB"/>
    <w:rsid w:val="5D521F6E"/>
    <w:rsid w:val="5D5C2DED"/>
    <w:rsid w:val="5D79399F"/>
    <w:rsid w:val="5E4D7A5C"/>
    <w:rsid w:val="5E631F59"/>
    <w:rsid w:val="5E984021"/>
    <w:rsid w:val="5EA4703F"/>
    <w:rsid w:val="5EE17A4E"/>
    <w:rsid w:val="5F2416E8"/>
    <w:rsid w:val="5F670F08"/>
    <w:rsid w:val="5FA56CCD"/>
    <w:rsid w:val="5FC058B5"/>
    <w:rsid w:val="5FEA39A0"/>
    <w:rsid w:val="5FF92B75"/>
    <w:rsid w:val="604E10A3"/>
    <w:rsid w:val="605F6F46"/>
    <w:rsid w:val="60B82A30"/>
    <w:rsid w:val="61167757"/>
    <w:rsid w:val="61334875"/>
    <w:rsid w:val="616E30EF"/>
    <w:rsid w:val="61B256D1"/>
    <w:rsid w:val="61B34FA6"/>
    <w:rsid w:val="61BC6F5D"/>
    <w:rsid w:val="61C96577"/>
    <w:rsid w:val="61CB0541"/>
    <w:rsid w:val="61CF0031"/>
    <w:rsid w:val="61DE2022"/>
    <w:rsid w:val="622A34BA"/>
    <w:rsid w:val="62481B92"/>
    <w:rsid w:val="62AF1C11"/>
    <w:rsid w:val="62CF7BBD"/>
    <w:rsid w:val="62D17DD9"/>
    <w:rsid w:val="6300246C"/>
    <w:rsid w:val="631101D6"/>
    <w:rsid w:val="63381C06"/>
    <w:rsid w:val="634C56B2"/>
    <w:rsid w:val="63536A40"/>
    <w:rsid w:val="63C27D1F"/>
    <w:rsid w:val="64310842"/>
    <w:rsid w:val="645A795A"/>
    <w:rsid w:val="645C3174"/>
    <w:rsid w:val="64835103"/>
    <w:rsid w:val="64853C10"/>
    <w:rsid w:val="64D8544F"/>
    <w:rsid w:val="651026AD"/>
    <w:rsid w:val="65355974"/>
    <w:rsid w:val="65554CF2"/>
    <w:rsid w:val="65FF4C5D"/>
    <w:rsid w:val="66012783"/>
    <w:rsid w:val="664347E6"/>
    <w:rsid w:val="66AD290B"/>
    <w:rsid w:val="66AF21DF"/>
    <w:rsid w:val="66CB0FA5"/>
    <w:rsid w:val="66F75934"/>
    <w:rsid w:val="67E1286C"/>
    <w:rsid w:val="67E4235D"/>
    <w:rsid w:val="6813679E"/>
    <w:rsid w:val="68264723"/>
    <w:rsid w:val="685F692B"/>
    <w:rsid w:val="68655F14"/>
    <w:rsid w:val="68796C5E"/>
    <w:rsid w:val="68B73552"/>
    <w:rsid w:val="68BE7F21"/>
    <w:rsid w:val="692A3D9F"/>
    <w:rsid w:val="696A6892"/>
    <w:rsid w:val="696E6382"/>
    <w:rsid w:val="69AB1384"/>
    <w:rsid w:val="69C80CD9"/>
    <w:rsid w:val="69FA5E67"/>
    <w:rsid w:val="6A7F636D"/>
    <w:rsid w:val="6A9F07BD"/>
    <w:rsid w:val="6AC02C0D"/>
    <w:rsid w:val="6AF64881"/>
    <w:rsid w:val="6B030D4C"/>
    <w:rsid w:val="6B2C02A3"/>
    <w:rsid w:val="6B594E10"/>
    <w:rsid w:val="6B7168FD"/>
    <w:rsid w:val="6BEA3251"/>
    <w:rsid w:val="6C871509"/>
    <w:rsid w:val="6CAD0F1B"/>
    <w:rsid w:val="6CC91B21"/>
    <w:rsid w:val="6D1234C8"/>
    <w:rsid w:val="6D2B4915"/>
    <w:rsid w:val="6D3A657B"/>
    <w:rsid w:val="6D6A34ED"/>
    <w:rsid w:val="6DF40E20"/>
    <w:rsid w:val="6E366386"/>
    <w:rsid w:val="6E461CB0"/>
    <w:rsid w:val="6E510020"/>
    <w:rsid w:val="6E535B46"/>
    <w:rsid w:val="6ED53211"/>
    <w:rsid w:val="6EF9081B"/>
    <w:rsid w:val="6F086931"/>
    <w:rsid w:val="6F1C062E"/>
    <w:rsid w:val="6F2F4E04"/>
    <w:rsid w:val="6F9957DB"/>
    <w:rsid w:val="6FAC3760"/>
    <w:rsid w:val="6FCC5BB0"/>
    <w:rsid w:val="6FD827A7"/>
    <w:rsid w:val="702C0BDD"/>
    <w:rsid w:val="70765256"/>
    <w:rsid w:val="70B14834"/>
    <w:rsid w:val="70BF74C3"/>
    <w:rsid w:val="72233A82"/>
    <w:rsid w:val="72C9287B"/>
    <w:rsid w:val="72D8486C"/>
    <w:rsid w:val="72EC5276"/>
    <w:rsid w:val="734939BC"/>
    <w:rsid w:val="737E5413"/>
    <w:rsid w:val="740A7B07"/>
    <w:rsid w:val="744D3038"/>
    <w:rsid w:val="749F1AE5"/>
    <w:rsid w:val="74A52E74"/>
    <w:rsid w:val="74D774D1"/>
    <w:rsid w:val="74E7348C"/>
    <w:rsid w:val="751C37AC"/>
    <w:rsid w:val="75223795"/>
    <w:rsid w:val="75A86778"/>
    <w:rsid w:val="75AC3908"/>
    <w:rsid w:val="75EC0C91"/>
    <w:rsid w:val="7612316F"/>
    <w:rsid w:val="764F1C9A"/>
    <w:rsid w:val="767C5D6C"/>
    <w:rsid w:val="76A70F61"/>
    <w:rsid w:val="76AC7B4F"/>
    <w:rsid w:val="76F123A0"/>
    <w:rsid w:val="772306F8"/>
    <w:rsid w:val="773A213A"/>
    <w:rsid w:val="77BA4E88"/>
    <w:rsid w:val="77D01FB6"/>
    <w:rsid w:val="77F4772F"/>
    <w:rsid w:val="7844007F"/>
    <w:rsid w:val="789D27E0"/>
    <w:rsid w:val="78B83176"/>
    <w:rsid w:val="78BD6F3A"/>
    <w:rsid w:val="79273E57"/>
    <w:rsid w:val="795A5FDB"/>
    <w:rsid w:val="7A172E57"/>
    <w:rsid w:val="7A1B0F02"/>
    <w:rsid w:val="7A6F44BB"/>
    <w:rsid w:val="7ADE49EA"/>
    <w:rsid w:val="7B452CBB"/>
    <w:rsid w:val="7B5B24DE"/>
    <w:rsid w:val="7BF24BF0"/>
    <w:rsid w:val="7BF87D2D"/>
    <w:rsid w:val="7C1728A9"/>
    <w:rsid w:val="7C196B1F"/>
    <w:rsid w:val="7C5F1B5A"/>
    <w:rsid w:val="7C6E4C43"/>
    <w:rsid w:val="7CAA0977"/>
    <w:rsid w:val="7CCD2F68"/>
    <w:rsid w:val="7D034BDB"/>
    <w:rsid w:val="7D713E18"/>
    <w:rsid w:val="7D8142EB"/>
    <w:rsid w:val="7D9B3066"/>
    <w:rsid w:val="7DF804B8"/>
    <w:rsid w:val="7E1A0B8E"/>
    <w:rsid w:val="7E813212"/>
    <w:rsid w:val="7E8224CD"/>
    <w:rsid w:val="7EBA751C"/>
    <w:rsid w:val="7EBFEC73"/>
    <w:rsid w:val="7EE822DB"/>
    <w:rsid w:val="7F2D0B91"/>
    <w:rsid w:val="7F4E65E2"/>
    <w:rsid w:val="7F605AE1"/>
    <w:rsid w:val="7FA94392"/>
    <w:rsid w:val="7FFC4290"/>
    <w:rsid w:val="BCEFA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9"/>
    <w:pPr>
      <w:tabs>
        <w:tab w:val="left" w:pos="949"/>
      </w:tabs>
      <w:spacing w:line="560" w:lineRule="exact"/>
      <w:ind w:firstLine="200" w:firstLineChars="200"/>
      <w:outlineLvl w:val="0"/>
    </w:pPr>
    <w:rPr>
      <w:rFonts w:ascii="黑体" w:hAnsi="黑体" w:eastAsia="黑体"/>
      <w:sz w:val="32"/>
      <w:szCs w:val="32"/>
      <w:lang w:val="zh-TW"/>
    </w:rPr>
  </w:style>
  <w:style w:type="paragraph" w:styleId="3">
    <w:name w:val="heading 2"/>
    <w:basedOn w:val="1"/>
    <w:next w:val="1"/>
    <w:link w:val="30"/>
    <w:autoRedefine/>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0"/>
    <w:autoRedefine/>
    <w:semiHidden/>
    <w:unhideWhenUsed/>
    <w:qFormat/>
    <w:uiPriority w:val="99"/>
    <w:pPr>
      <w:jc w:val="left"/>
    </w:pPr>
  </w:style>
  <w:style w:type="paragraph" w:styleId="5">
    <w:name w:val="Body Text"/>
    <w:basedOn w:val="1"/>
    <w:next w:val="6"/>
    <w:autoRedefine/>
    <w:qFormat/>
    <w:uiPriority w:val="0"/>
    <w:pPr>
      <w:spacing w:before="236"/>
      <w:ind w:left="120"/>
    </w:pPr>
    <w:rPr>
      <w:rFonts w:ascii="宋体" w:hAnsi="宋体"/>
      <w:sz w:val="28"/>
      <w:szCs w:val="28"/>
    </w:rPr>
  </w:style>
  <w:style w:type="paragraph" w:customStyle="1" w:styleId="6">
    <w:name w:val="_Style 3"/>
    <w:basedOn w:val="1"/>
    <w:autoRedefine/>
    <w:qFormat/>
    <w:uiPriority w:val="34"/>
    <w:pPr>
      <w:ind w:firstLine="420" w:firstLineChars="200"/>
    </w:pPr>
  </w:style>
  <w:style w:type="paragraph" w:styleId="7">
    <w:name w:val="Body Text Indent"/>
    <w:basedOn w:val="1"/>
    <w:autoRedefine/>
    <w:unhideWhenUsed/>
    <w:qFormat/>
    <w:uiPriority w:val="99"/>
    <w:pPr>
      <w:spacing w:after="120"/>
      <w:ind w:left="420" w:leftChars="200"/>
    </w:pPr>
  </w:style>
  <w:style w:type="paragraph" w:styleId="8">
    <w:name w:val="toc 3"/>
    <w:basedOn w:val="1"/>
    <w:next w:val="1"/>
    <w:autoRedefine/>
    <w:unhideWhenUsed/>
    <w:qFormat/>
    <w:uiPriority w:val="39"/>
    <w:pPr>
      <w:ind w:left="840" w:leftChars="400"/>
    </w:pPr>
  </w:style>
  <w:style w:type="paragraph" w:styleId="9">
    <w:name w:val="Balloon Text"/>
    <w:basedOn w:val="1"/>
    <w:link w:val="31"/>
    <w:autoRedefine/>
    <w:unhideWhenUsed/>
    <w:qFormat/>
    <w:uiPriority w:val="99"/>
    <w:rPr>
      <w:sz w:val="18"/>
      <w:szCs w:val="18"/>
    </w:rPr>
  </w:style>
  <w:style w:type="paragraph" w:styleId="10">
    <w:name w:val="footer"/>
    <w:basedOn w:val="1"/>
    <w:link w:val="32"/>
    <w:autoRedefine/>
    <w:unhideWhenUsed/>
    <w:qFormat/>
    <w:uiPriority w:val="99"/>
    <w:pPr>
      <w:snapToGrid w:val="0"/>
      <w:ind w:right="210" w:rightChars="100"/>
      <w:jc w:val="righ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96"/>
      </w:tabs>
    </w:pPr>
  </w:style>
  <w:style w:type="paragraph" w:styleId="13">
    <w:name w:val="Subtitle"/>
    <w:basedOn w:val="1"/>
    <w:next w:val="1"/>
    <w:link w:val="33"/>
    <w:autoRedefine/>
    <w:qFormat/>
    <w:uiPriority w:val="11"/>
    <w:pPr>
      <w:spacing w:before="240" w:after="60" w:line="312" w:lineRule="auto"/>
      <w:jc w:val="center"/>
      <w:outlineLvl w:val="1"/>
    </w:pPr>
    <w:rPr>
      <w:rFonts w:ascii="Cambria" w:hAnsi="Cambria"/>
      <w:b/>
      <w:bCs/>
      <w:kern w:val="28"/>
      <w:sz w:val="32"/>
      <w:szCs w:val="32"/>
    </w:rPr>
  </w:style>
  <w:style w:type="paragraph" w:styleId="14">
    <w:name w:val="toc 2"/>
    <w:basedOn w:val="1"/>
    <w:next w:val="1"/>
    <w:autoRedefine/>
    <w:unhideWhenUsed/>
    <w:qFormat/>
    <w:uiPriority w:val="39"/>
    <w:pPr>
      <w:tabs>
        <w:tab w:val="right" w:leader="dot" w:pos="8296"/>
      </w:tabs>
      <w:spacing w:line="300" w:lineRule="exact"/>
      <w:ind w:left="420" w:leftChars="200"/>
    </w:pPr>
  </w:style>
  <w:style w:type="paragraph" w:styleId="15">
    <w:name w:val="Normal (Web)"/>
    <w:basedOn w:val="1"/>
    <w:qFormat/>
    <w:uiPriority w:val="0"/>
    <w:rPr>
      <w:sz w:val="24"/>
    </w:rPr>
  </w:style>
  <w:style w:type="paragraph" w:styleId="16">
    <w:name w:val="Title"/>
    <w:basedOn w:val="1"/>
    <w:next w:val="1"/>
    <w:autoRedefine/>
    <w:qFormat/>
    <w:uiPriority w:val="10"/>
    <w:pPr>
      <w:jc w:val="center"/>
    </w:pPr>
    <w:rPr>
      <w:rFonts w:ascii="方正小标宋_GBK" w:hAnsi="Arial Unicode MS" w:eastAsia="方正小标宋_GBK" w:cs="Arial Unicode MS"/>
      <w:sz w:val="40"/>
      <w:szCs w:val="40"/>
    </w:rPr>
  </w:style>
  <w:style w:type="paragraph" w:styleId="17">
    <w:name w:val="annotation subject"/>
    <w:basedOn w:val="4"/>
    <w:next w:val="4"/>
    <w:link w:val="51"/>
    <w:semiHidden/>
    <w:unhideWhenUsed/>
    <w:qFormat/>
    <w:uiPriority w:val="99"/>
    <w:rPr>
      <w:b/>
      <w:bCs/>
    </w:rPr>
  </w:style>
  <w:style w:type="paragraph" w:styleId="18">
    <w:name w:val="Body Text First Indent"/>
    <w:basedOn w:val="5"/>
    <w:autoRedefine/>
    <w:qFormat/>
    <w:uiPriority w:val="0"/>
    <w:pPr>
      <w:ind w:firstLine="420" w:firstLineChars="100"/>
    </w:pPr>
  </w:style>
  <w:style w:type="paragraph" w:styleId="19">
    <w:name w:val="Body Text First Indent 2"/>
    <w:basedOn w:val="7"/>
    <w:link w:val="28"/>
    <w:autoRedefine/>
    <w:unhideWhenUsed/>
    <w:qFormat/>
    <w:uiPriority w:val="99"/>
    <w:pPr>
      <w:ind w:firstLine="420" w:firstLineChars="200"/>
    </w:pPr>
  </w:style>
  <w:style w:type="table" w:styleId="21">
    <w:name w:val="Table Grid"/>
    <w:basedOn w:val="2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rPr>
  </w:style>
  <w:style w:type="character" w:styleId="24">
    <w:name w:val="page number"/>
    <w:autoRedefine/>
    <w:unhideWhenUsed/>
    <w:qFormat/>
    <w:uiPriority w:val="99"/>
    <w:rPr>
      <w:rFonts w:ascii="Times New Roman" w:hAnsi="Times New Roman" w:eastAsia="宋体"/>
      <w:sz w:val="18"/>
    </w:rPr>
  </w:style>
  <w:style w:type="character" w:styleId="25">
    <w:name w:val="Hyperlink"/>
    <w:autoRedefine/>
    <w:unhideWhenUsed/>
    <w:qFormat/>
    <w:uiPriority w:val="99"/>
    <w:rPr>
      <w:color w:val="0000FF"/>
      <w:u w:val="single"/>
    </w:rPr>
  </w:style>
  <w:style w:type="character" w:styleId="26">
    <w:name w:val="annotation reference"/>
    <w:basedOn w:val="22"/>
    <w:semiHidden/>
    <w:unhideWhenUsed/>
    <w:qFormat/>
    <w:uiPriority w:val="99"/>
    <w:rPr>
      <w:sz w:val="21"/>
      <w:szCs w:val="21"/>
    </w:rPr>
  </w:style>
  <w:style w:type="paragraph" w:customStyle="1" w:styleId="27">
    <w:name w:val="正文 A"/>
    <w:autoRedefine/>
    <w:qFormat/>
    <w:uiPriority w:val="2"/>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8">
    <w:name w:val="正文文本首行缩进 2 字符"/>
    <w:link w:val="19"/>
    <w:autoRedefine/>
    <w:qFormat/>
    <w:uiPriority w:val="99"/>
    <w:rPr>
      <w:kern w:val="2"/>
      <w:sz w:val="21"/>
      <w:szCs w:val="24"/>
    </w:rPr>
  </w:style>
  <w:style w:type="character" w:customStyle="1" w:styleId="29">
    <w:name w:val="标题 1 字符"/>
    <w:link w:val="2"/>
    <w:autoRedefine/>
    <w:qFormat/>
    <w:uiPriority w:val="9"/>
    <w:rPr>
      <w:rFonts w:ascii="黑体" w:hAnsi="黑体" w:eastAsia="黑体"/>
      <w:kern w:val="2"/>
      <w:sz w:val="32"/>
      <w:szCs w:val="32"/>
      <w:u w:val="none" w:color="000000"/>
      <w:lang w:val="zh-TW"/>
    </w:rPr>
  </w:style>
  <w:style w:type="character" w:customStyle="1" w:styleId="30">
    <w:name w:val="标题 2 字符"/>
    <w:link w:val="3"/>
    <w:autoRedefine/>
    <w:semiHidden/>
    <w:qFormat/>
    <w:uiPriority w:val="9"/>
    <w:rPr>
      <w:rFonts w:ascii="Cambria" w:hAnsi="Cambria" w:eastAsia="宋体" w:cs="Times New Roman"/>
      <w:b/>
      <w:bCs/>
      <w:kern w:val="2"/>
      <w:sz w:val="32"/>
      <w:szCs w:val="32"/>
    </w:rPr>
  </w:style>
  <w:style w:type="character" w:customStyle="1" w:styleId="31">
    <w:name w:val="批注框文本 字符"/>
    <w:link w:val="9"/>
    <w:autoRedefine/>
    <w:semiHidden/>
    <w:qFormat/>
    <w:uiPriority w:val="99"/>
    <w:rPr>
      <w:kern w:val="2"/>
      <w:sz w:val="18"/>
      <w:szCs w:val="18"/>
    </w:rPr>
  </w:style>
  <w:style w:type="character" w:customStyle="1" w:styleId="32">
    <w:name w:val="页脚 字符"/>
    <w:link w:val="10"/>
    <w:autoRedefine/>
    <w:qFormat/>
    <w:uiPriority w:val="99"/>
    <w:rPr>
      <w:kern w:val="2"/>
      <w:sz w:val="18"/>
      <w:szCs w:val="18"/>
    </w:rPr>
  </w:style>
  <w:style w:type="character" w:customStyle="1" w:styleId="33">
    <w:name w:val="副标题 字符"/>
    <w:link w:val="13"/>
    <w:autoRedefine/>
    <w:qFormat/>
    <w:uiPriority w:val="11"/>
    <w:rPr>
      <w:rFonts w:ascii="Cambria" w:hAnsi="Cambria" w:cs="Times New Roman"/>
      <w:b/>
      <w:bCs/>
      <w:kern w:val="28"/>
      <w:sz w:val="32"/>
      <w:szCs w:val="32"/>
    </w:rPr>
  </w:style>
  <w:style w:type="paragraph" w:customStyle="1" w:styleId="34">
    <w:name w:val="章标题"/>
    <w:next w:val="35"/>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5">
    <w:name w:val="段"/>
    <w:link w:val="3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段 Char"/>
    <w:link w:val="35"/>
    <w:autoRedefine/>
    <w:qFormat/>
    <w:locked/>
    <w:uiPriority w:val="0"/>
    <w:rPr>
      <w:rFonts w:ascii="宋体"/>
      <w:sz w:val="21"/>
    </w:rPr>
  </w:style>
  <w:style w:type="paragraph" w:customStyle="1" w:styleId="37">
    <w:name w:val="二级无"/>
    <w:basedOn w:val="1"/>
    <w:autoRedefine/>
    <w:qFormat/>
    <w:uiPriority w:val="0"/>
    <w:pPr>
      <w:widowControl/>
      <w:ind w:left="709"/>
      <w:jc w:val="left"/>
      <w:outlineLvl w:val="3"/>
    </w:pPr>
    <w:rPr>
      <w:rFonts w:ascii="宋体"/>
      <w:kern w:val="0"/>
      <w:szCs w:val="21"/>
    </w:rPr>
  </w:style>
  <w:style w:type="paragraph" w:customStyle="1" w:styleId="38">
    <w:name w:val="一级条标题"/>
    <w:next w:val="35"/>
    <w:autoRedefine/>
    <w:qFormat/>
    <w:uiPriority w:val="0"/>
    <w:pPr>
      <w:spacing w:before="156" w:beforeLines="50" w:after="156" w:afterLines="50"/>
      <w:ind w:left="2340"/>
      <w:outlineLvl w:val="2"/>
    </w:pPr>
    <w:rPr>
      <w:rFonts w:ascii="黑体" w:hAnsi="Times New Roman" w:eastAsia="黑体" w:cs="Times New Roman"/>
      <w:sz w:val="21"/>
      <w:szCs w:val="21"/>
      <w:lang w:val="en-US" w:eastAsia="zh-CN" w:bidi="ar-SA"/>
    </w:rPr>
  </w:style>
  <w:style w:type="character" w:customStyle="1" w:styleId="39">
    <w:name w:val="标题2 Char"/>
    <w:link w:val="40"/>
    <w:autoRedefine/>
    <w:qFormat/>
    <w:uiPriority w:val="0"/>
    <w:rPr>
      <w:rFonts w:ascii="楷体_GB2312" w:hAnsi="Cambria" w:eastAsia="楷体_GB2312"/>
      <w:b/>
      <w:kern w:val="28"/>
      <w:sz w:val="32"/>
      <w:szCs w:val="32"/>
      <w:u w:val="none" w:color="000000"/>
      <w:lang w:val="zh-TW" w:eastAsia="zh-TW"/>
    </w:rPr>
  </w:style>
  <w:style w:type="paragraph" w:customStyle="1" w:styleId="40">
    <w:name w:val="标题2"/>
    <w:basedOn w:val="13"/>
    <w:link w:val="39"/>
    <w:autoRedefine/>
    <w:qFormat/>
    <w:uiPriority w:val="0"/>
    <w:pPr>
      <w:tabs>
        <w:tab w:val="left" w:pos="949"/>
      </w:tabs>
      <w:spacing w:before="0" w:after="0" w:line="560" w:lineRule="exact"/>
      <w:ind w:firstLine="200" w:firstLineChars="200"/>
      <w:jc w:val="both"/>
    </w:pPr>
    <w:rPr>
      <w:rFonts w:ascii="楷体_GB2312" w:eastAsia="楷体_GB2312"/>
      <w:bCs w:val="0"/>
      <w:u w:color="000000"/>
      <w:lang w:val="zh-TW" w:eastAsia="zh-TW"/>
    </w:rPr>
  </w:style>
  <w:style w:type="paragraph" w:customStyle="1" w:styleId="41">
    <w:name w:val="列出段落1"/>
    <w:basedOn w:val="1"/>
    <w:autoRedefine/>
    <w:qFormat/>
    <w:uiPriority w:val="34"/>
    <w:pPr>
      <w:ind w:firstLine="420" w:firstLineChars="200"/>
    </w:pPr>
    <w:rPr>
      <w:rFonts w:ascii="等线" w:hAnsi="等线" w:eastAsia="等线"/>
      <w:szCs w:val="22"/>
    </w:rPr>
  </w:style>
  <w:style w:type="paragraph" w:customStyle="1" w:styleId="42">
    <w:name w:val="列出段落11"/>
    <w:basedOn w:val="1"/>
    <w:autoRedefine/>
    <w:qFormat/>
    <w:uiPriority w:val="34"/>
    <w:pPr>
      <w:ind w:firstLine="420" w:firstLineChars="200"/>
    </w:pPr>
    <w:rPr>
      <w:rFonts w:ascii="等线" w:hAnsi="等线" w:eastAsia="等线"/>
      <w:szCs w:val="22"/>
    </w:rPr>
  </w:style>
  <w:style w:type="character" w:customStyle="1" w:styleId="43">
    <w:name w:val="表格 Char"/>
    <w:link w:val="44"/>
    <w:autoRedefine/>
    <w:qFormat/>
    <w:uiPriority w:val="0"/>
    <w:rPr>
      <w:rFonts w:ascii="仿宋_GB2312" w:hAnsi="仿宋_GB2312" w:eastAsia="仿宋_GB2312"/>
      <w:kern w:val="2"/>
      <w:sz w:val="28"/>
      <w:szCs w:val="24"/>
      <w:u w:val="none" w:color="000000"/>
      <w:lang w:val="zh-TW"/>
    </w:rPr>
  </w:style>
  <w:style w:type="paragraph" w:customStyle="1" w:styleId="44">
    <w:name w:val="表格"/>
    <w:basedOn w:val="1"/>
    <w:link w:val="43"/>
    <w:autoRedefine/>
    <w:qFormat/>
    <w:uiPriority w:val="0"/>
    <w:pPr>
      <w:tabs>
        <w:tab w:val="left" w:pos="949"/>
      </w:tabs>
      <w:spacing w:line="320" w:lineRule="exact"/>
      <w:jc w:val="center"/>
    </w:pPr>
    <w:rPr>
      <w:rFonts w:ascii="仿宋_GB2312" w:hAnsi="仿宋_GB2312" w:eastAsia="仿宋_GB2312"/>
      <w:sz w:val="28"/>
      <w:u w:color="000000"/>
      <w:lang w:val="zh-TW"/>
    </w:rPr>
  </w:style>
  <w:style w:type="paragraph" w:styleId="45">
    <w:name w:val="No Spacing"/>
    <w:basedOn w:val="19"/>
    <w:autoRedefine/>
    <w:qFormat/>
    <w:uiPriority w:val="1"/>
    <w:pPr>
      <w:tabs>
        <w:tab w:val="left" w:pos="949"/>
      </w:tabs>
      <w:spacing w:beforeLines="50" w:after="0" w:line="560" w:lineRule="exact"/>
      <w:ind w:left="0" w:leftChars="0" w:firstLine="200"/>
      <w:outlineLvl w:val="2"/>
    </w:pPr>
    <w:rPr>
      <w:rFonts w:ascii="楷体_GB2312" w:eastAsia="楷体_GB2312"/>
      <w:kern w:val="0"/>
      <w:sz w:val="32"/>
      <w:u w:val="single"/>
    </w:rPr>
  </w:style>
  <w:style w:type="paragraph" w:customStyle="1" w:styleId="46">
    <w:name w:val="_Style 39"/>
    <w:basedOn w:val="2"/>
    <w:next w:val="1"/>
    <w:autoRedefine/>
    <w:qFormat/>
    <w:uiPriority w:val="39"/>
    <w:pPr>
      <w:keepNext/>
      <w:keepLines/>
      <w:widowControl/>
      <w:tabs>
        <w:tab w:val="clear" w:pos="949"/>
      </w:tabs>
      <w:spacing w:before="480" w:line="276" w:lineRule="auto"/>
      <w:ind w:firstLine="0" w:firstLineChars="0"/>
      <w:jc w:val="left"/>
      <w:outlineLvl w:val="9"/>
    </w:pPr>
    <w:rPr>
      <w:rFonts w:ascii="Cambria" w:hAnsi="Cambria" w:eastAsia="宋体"/>
      <w:b/>
      <w:bCs/>
      <w:color w:val="365F91"/>
      <w:kern w:val="0"/>
      <w:sz w:val="28"/>
      <w:szCs w:val="28"/>
      <w:lang w:val="en-US"/>
    </w:rPr>
  </w:style>
  <w:style w:type="paragraph" w:customStyle="1" w:styleId="47">
    <w:name w:val="_Style 40"/>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批注文字 字符"/>
    <w:basedOn w:val="22"/>
    <w:link w:val="4"/>
    <w:semiHidden/>
    <w:qFormat/>
    <w:uiPriority w:val="99"/>
    <w:rPr>
      <w:kern w:val="2"/>
      <w:sz w:val="21"/>
      <w:szCs w:val="24"/>
    </w:rPr>
  </w:style>
  <w:style w:type="character" w:customStyle="1" w:styleId="51">
    <w:name w:val="批注主题 字符"/>
    <w:basedOn w:val="50"/>
    <w:link w:val="17"/>
    <w:semiHidden/>
    <w:qFormat/>
    <w:uiPriority w:val="99"/>
    <w:rPr>
      <w:b/>
      <w:bCs/>
      <w:kern w:val="2"/>
      <w:sz w:val="21"/>
      <w:szCs w:val="24"/>
    </w:rPr>
  </w:style>
  <w:style w:type="paragraph" w:customStyle="1" w:styleId="5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6181\Desktop\&#24037;&#20316;&#31807;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6181\Desktop\&#24037;&#20316;&#31807;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zh-CN" altLang="en-US" sz="1400" b="0" i="0" u="none" strike="noStrike" baseline="0">
                <a:solidFill>
                  <a:srgbClr val="404040">
                    <a:alpha val="100000"/>
                  </a:srgbClr>
                </a:solidFill>
                <a:latin typeface="微软雅黑" panose="020B0503020204020204" pitchFamily="2" charset="-122"/>
                <a:ea typeface="微软雅黑" panose="020B0503020204020204" pitchFamily="2" charset="-122"/>
                <a:cs typeface="微软雅黑" panose="020B0503020204020204" pitchFamily="2" charset="-122"/>
              </a:rPr>
              <a:t>安吉农商行</a:t>
            </a:r>
            <a:r>
              <a:rPr lang="en-US" altLang="zh-CN" sz="1400" b="0" i="0" u="none" strike="noStrike" baseline="0">
                <a:solidFill>
                  <a:srgbClr val="404040">
                    <a:alpha val="100000"/>
                  </a:srgbClr>
                </a:solidFill>
                <a:latin typeface="微软雅黑" panose="020B0503020204020204" pitchFamily="2" charset="-122"/>
                <a:ea typeface="微软雅黑" panose="020B0503020204020204" pitchFamily="2" charset="-122"/>
                <a:cs typeface="微软雅黑" panose="020B0503020204020204" pitchFamily="2" charset="-122"/>
              </a:rPr>
              <a:t>2023</a:t>
            </a:r>
            <a:r>
              <a:rPr lang="zh-CN" altLang="en-US" sz="1400" b="0" i="0" u="none" strike="noStrike" baseline="0">
                <a:solidFill>
                  <a:srgbClr val="404040">
                    <a:alpha val="100000"/>
                  </a:srgbClr>
                </a:solidFill>
                <a:latin typeface="微软雅黑" panose="020B0503020204020204" pitchFamily="2" charset="-122"/>
                <a:ea typeface="微软雅黑" panose="020B0503020204020204" pitchFamily="2" charset="-122"/>
                <a:cs typeface="微软雅黑" panose="020B0503020204020204" pitchFamily="2" charset="-122"/>
              </a:rPr>
              <a:t>年度温室气体排放总量构成</a:t>
            </a:r>
            <a:endParaRPr lang="zh-CN" altLang="en-US" sz="1400" b="0" i="0" u="none" strike="noStrike" baseline="0">
              <a:solidFill>
                <a:srgbClr val="404040">
                  <a:alpha val="100000"/>
                </a:srgbClr>
              </a:solidFill>
              <a:latin typeface="微软雅黑" panose="020B0503020204020204" pitchFamily="2" charset="-122"/>
              <a:ea typeface="微软雅黑" panose="020B0503020204020204" pitchFamily="2" charset="-122"/>
              <a:cs typeface="微软雅黑" panose="020B0503020204020204" pitchFamily="2" charset="-122"/>
            </a:endParaRPr>
          </a:p>
        </c:rich>
      </c:tx>
      <c:layout/>
      <c:overlay val="0"/>
      <c:spPr>
        <a:noFill/>
        <a:ln>
          <a:noFill/>
        </a:ln>
        <a:effectLst/>
      </c:spPr>
    </c:title>
    <c:autoTitleDeleted val="0"/>
    <c:plotArea>
      <c:layout/>
      <c:pieChart>
        <c:varyColors val="1"/>
        <c:ser>
          <c:idx val="1"/>
          <c:order val="0"/>
          <c:tx>
            <c:strRef>
              <c:f>[工作簿1.xls]Sheet1!$B$3</c:f>
              <c:strCache>
                <c:ptCount val="1"/>
                <c:pt idx="0">
                  <c:v>占比（%）</c:v>
                </c:pt>
              </c:strCache>
            </c:strRef>
          </c:tx>
          <c:spPr/>
          <c:explosion val="0"/>
          <c:dPt>
            <c:idx val="0"/>
            <c:bubble3D val="0"/>
            <c:spPr>
              <a:solidFill>
                <a:schemeClr val="accent1"/>
              </a:solidFill>
              <a:ln>
                <a:noFill/>
              </a:ln>
              <a:effectLst>
                <a:outerShdw blurRad="76200" dist="25400" dir="2700000" algn="tl" rotWithShape="0">
                  <a:schemeClr val="accent1">
                    <a:lumMod val="50000"/>
                    <a:alpha val="30000"/>
                  </a:schemeClr>
                </a:outerShdw>
              </a:effectLst>
            </c:spPr>
          </c:dPt>
          <c:dPt>
            <c:idx val="1"/>
            <c:bubble3D val="0"/>
            <c:spPr>
              <a:solidFill>
                <a:schemeClr val="accent2"/>
              </a:solidFill>
              <a:ln>
                <a:noFill/>
              </a:ln>
              <a:effectLst>
                <a:outerShdw blurRad="76200" dist="25400" dir="2700000" algn="tl" rotWithShape="0">
                  <a:schemeClr val="accent2">
                    <a:lumMod val="50000"/>
                    <a:alpha val="30000"/>
                  </a:schemeClr>
                </a:outerShdw>
              </a:effectLst>
            </c:spPr>
          </c:dPt>
          <c:dPt>
            <c:idx val="2"/>
            <c:bubble3D val="0"/>
            <c:spPr>
              <a:solidFill>
                <a:schemeClr val="accent3"/>
              </a:solidFill>
              <a:ln>
                <a:noFill/>
              </a:ln>
              <a:effectLst>
                <a:outerShdw blurRad="76200" dist="25400" dir="2700000" algn="tl" rotWithShape="0">
                  <a:schemeClr val="accent3">
                    <a:lumMod val="50000"/>
                    <a:alpha val="30000"/>
                  </a:schemeClr>
                </a:outerShdw>
              </a:effectLst>
            </c:spPr>
          </c:dPt>
          <c:dLbls>
            <c:dLbl>
              <c:idx val="0"/>
              <c:layout>
                <c:manualLayout>
                  <c:x val="-0.00574158101030644"/>
                  <c:y val="0.10037040312729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1.66</a:t>
                    </a:r>
                    <a:r>
                      <a:rPr lang="en-US"/>
                      <a:t>%</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53.83%</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44.51%</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a:effectLst/>
                  </c:spPr>
                </c15:leaderLines>
              </c:ext>
            </c:extLst>
          </c:dLbls>
          <c:cat>
            <c:strRef>
              <c:f>[工作簿1.xls]Sheet1!$A$4:$A$6</c:f>
              <c:strCache>
                <c:ptCount val="3"/>
                <c:pt idx="0">
                  <c:v>范围1排放</c:v>
                </c:pt>
                <c:pt idx="1">
                  <c:v>范围2排放</c:v>
                </c:pt>
                <c:pt idx="2">
                  <c:v>范围3排放</c:v>
                </c:pt>
              </c:strCache>
            </c:strRef>
          </c:cat>
          <c:val>
            <c:numRef>
              <c:f>[工作簿1.xls]Sheet1!$B$4:$B$6</c:f>
              <c:numCache>
                <c:formatCode>General</c:formatCode>
                <c:ptCount val="3"/>
                <c:pt idx="0">
                  <c:v>1.66</c:v>
                </c:pt>
                <c:pt idx="1">
                  <c:v>53.83</c:v>
                </c:pt>
                <c:pt idx="2">
                  <c:v>44.51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extLst>
      <c:ext uri="{0b15fc19-7d7d-44ad-8c2d-2c3a37ce22c3}">
        <chartProps xmlns="https://web.wps.cn/et/2018/main" chartId="{f8b9c5a8-e9a4-49b9-8d02-c1c622306d5d}"/>
      </c:ext>
    </c:extLst>
  </c:chart>
  <c:spPr>
    <a:solidFill>
      <a:sysClr val="window" lastClr="FFFFFF"/>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安吉农商银行2023年主要排放源分析</a:t>
            </a:r>
          </a:p>
        </c:rich>
      </c:tx>
      <c:layout/>
      <c:overlay val="0"/>
      <c:spPr>
        <a:noFill/>
        <a:ln>
          <a:noFill/>
        </a:ln>
        <a:effectLst/>
      </c:spPr>
    </c:title>
    <c:autoTitleDeleted val="0"/>
    <c:plotArea>
      <c:layout/>
      <c:barChart>
        <c:barDir val="col"/>
        <c:grouping val="clustered"/>
        <c:varyColors val="0"/>
        <c:ser>
          <c:idx val="0"/>
          <c:order val="0"/>
          <c:tx>
            <c:strRef>
              <c:f>[工作簿1.xls]Sheet3!$B$1</c:f>
              <c:strCache>
                <c:ptCount val="1"/>
                <c:pt idx="0">
                  <c:v>碳排放量</c:v>
                </c:pt>
              </c:strCache>
            </c:strRef>
          </c:tx>
          <c:spPr>
            <a:solidFill>
              <a:schemeClr val="accent1"/>
            </a:solidFill>
            <a:ln>
              <a:noFill/>
            </a:ln>
            <a:effectLst/>
          </c:spPr>
          <c:invertIfNegative val="0"/>
          <c:dLbls>
            <c:delete val="1"/>
          </c:dLbls>
          <c:cat>
            <c:strRef>
              <c:f>[工作簿1.xls]Sheet3!$A$2:$A$4</c:f>
              <c:strCache>
                <c:ptCount val="3"/>
                <c:pt idx="0">
                  <c:v>自身运营外购电力消耗</c:v>
                </c:pt>
                <c:pt idx="1">
                  <c:v>员工通勤汽油消耗</c:v>
                </c:pt>
                <c:pt idx="2">
                  <c:v>外包运输柴油消耗</c:v>
                </c:pt>
              </c:strCache>
            </c:strRef>
          </c:cat>
          <c:val>
            <c:numRef>
              <c:f>[工作簿1.xls]Sheet3!$B$2:$B$4</c:f>
              <c:numCache>
                <c:formatCode>General</c:formatCode>
                <c:ptCount val="3"/>
                <c:pt idx="0">
                  <c:v>2805.19</c:v>
                </c:pt>
                <c:pt idx="1">
                  <c:v>1174.63</c:v>
                </c:pt>
                <c:pt idx="2">
                  <c:v>1105.3</c:v>
                </c:pt>
              </c:numCache>
            </c:numRef>
          </c:val>
        </c:ser>
        <c:dLbls>
          <c:showLegendKey val="0"/>
          <c:showVal val="0"/>
          <c:showCatName val="0"/>
          <c:showSerName val="0"/>
          <c:showPercent val="0"/>
          <c:showBubbleSize val="0"/>
        </c:dLbls>
        <c:gapWidth val="246"/>
        <c:overlap val="-28"/>
        <c:axId val="251245783"/>
        <c:axId val="774004924"/>
      </c:barChart>
      <c:catAx>
        <c:axId val="2512457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4004924"/>
        <c:crosses val="autoZero"/>
        <c:auto val="1"/>
        <c:lblAlgn val="ctr"/>
        <c:lblOffset val="100"/>
        <c:noMultiLvlLbl val="0"/>
      </c:catAx>
      <c:valAx>
        <c:axId val="77400492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碳排放量  吨二氧化碳当量</a:t>
                </a:r>
              </a:p>
            </c:rich>
          </c:tx>
          <c:layout>
            <c:manualLayout>
              <c:xMode val="edge"/>
              <c:yMode val="edge"/>
              <c:x val="0.0236721408492381"/>
              <c:y val="0.16108927568781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24578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99c1bc-872a-464d-b353-17350cb349dd}"/>
      </c:ext>
    </c:extLst>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10137</Words>
  <Characters>10767</Characters>
  <Lines>1148</Lines>
  <Paragraphs>789</Paragraphs>
  <TotalTime>0</TotalTime>
  <ScaleCrop>false</ScaleCrop>
  <LinksUpToDate>false</LinksUpToDate>
  <CharactersWithSpaces>10852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2025-03-20T06:26:00Z</dcterms:created>
  <dc:creator>unknown</dc:creator>
  <cp:lastModifiedBy>lv</cp:lastModifiedBy>
  <dcterms:modified xsi:type="dcterms:W3CDTF">2025-07-15T00:32:51Z</dcterms:modified>
  <dc:title>绿色金融改革创新试验区</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6DC821304EF74F9FBA61E6D26D81F3E0_13</vt:lpwstr>
  </property>
  <property fmtid="{D5CDD505-2E9C-101B-9397-08002B2CF9AE}" pid="4" name="KSOTemplateDocerSaveRecord">
    <vt:lpwstr>eyJoZGlkIjoiZjNjY2YxM2VlYmRhNjU0MDZjMDJmNjlhNjMyNjBhY2MiLCJ1c2VySWQiOiIyNTE3OTA3MDIifQ==</vt:lpwstr>
  </property>
</Properties>
</file>