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EDFCB">
      <w:pPr>
        <w:pStyle w:val="3"/>
        <w:keepNext w:val="0"/>
        <w:keepLines w:val="0"/>
        <w:widowControl/>
        <w:suppressLineNumbers w:val="0"/>
        <w:spacing w:line="360" w:lineRule="auto"/>
        <w:jc w:val="center"/>
        <w:rPr>
          <w:rFonts w:hint="eastAsia" w:ascii="仿宋" w:hAnsi="仿宋" w:eastAsia="仿宋" w:cs="仿宋"/>
          <w:b/>
          <w:bCs/>
          <w:color w:val="000000"/>
          <w:sz w:val="32"/>
          <w:szCs w:val="32"/>
          <w:shd w:val="clear" w:fill="FFFFFF"/>
          <w:lang w:eastAsia="zh-CN"/>
        </w:rPr>
      </w:pPr>
      <w:r>
        <w:rPr>
          <w:rFonts w:hint="eastAsia" w:ascii="仿宋" w:hAnsi="仿宋" w:eastAsia="仿宋" w:cs="仿宋"/>
          <w:b/>
          <w:bCs/>
          <w:color w:val="000000"/>
          <w:sz w:val="32"/>
          <w:szCs w:val="32"/>
          <w:shd w:val="clear" w:fill="FFFFFF"/>
        </w:rPr>
        <w:t>关于</w:t>
      </w:r>
      <w:r>
        <w:rPr>
          <w:rFonts w:hint="eastAsia" w:ascii="仿宋" w:hAnsi="仿宋" w:eastAsia="仿宋" w:cs="仿宋"/>
          <w:b/>
          <w:bCs/>
          <w:color w:val="000000"/>
          <w:sz w:val="32"/>
          <w:szCs w:val="32"/>
          <w:shd w:val="clear" w:fill="FFFFFF"/>
          <w:lang w:eastAsia="zh-CN"/>
        </w:rPr>
        <w:t>2025年安吉农商银行总行顶楼logo及部分网点门头维修改造</w:t>
      </w:r>
      <w:r>
        <w:rPr>
          <w:rFonts w:hint="eastAsia" w:ascii="仿宋" w:hAnsi="仿宋" w:eastAsia="仿宋" w:cs="仿宋"/>
          <w:b/>
          <w:bCs/>
          <w:color w:val="000000"/>
          <w:sz w:val="32"/>
          <w:szCs w:val="32"/>
          <w:shd w:val="clear" w:fill="FFFFFF"/>
        </w:rPr>
        <w:t>的中标</w:t>
      </w:r>
      <w:r>
        <w:rPr>
          <w:rFonts w:hint="eastAsia" w:ascii="仿宋" w:hAnsi="仿宋" w:eastAsia="仿宋" w:cs="仿宋"/>
          <w:b/>
          <w:bCs/>
          <w:color w:val="000000"/>
          <w:sz w:val="32"/>
          <w:szCs w:val="32"/>
          <w:shd w:val="clear" w:fill="FFFFFF"/>
          <w:lang w:eastAsia="zh-CN"/>
        </w:rPr>
        <w:t>结果公示</w:t>
      </w:r>
    </w:p>
    <w:p w14:paraId="7948605A">
      <w:pPr>
        <w:pStyle w:val="3"/>
        <w:keepNext w:val="0"/>
        <w:keepLines w:val="0"/>
        <w:widowControl/>
        <w:suppressLineNumbers w:val="0"/>
        <w:spacing w:line="240" w:lineRule="auto"/>
        <w:ind w:left="0" w:firstLine="480"/>
        <w:jc w:val="both"/>
      </w:pPr>
      <w:r>
        <w:rPr>
          <w:rFonts w:ascii="仿宋" w:hAnsi="仿宋" w:eastAsia="仿宋" w:cs="仿宋"/>
          <w:color w:val="000000"/>
          <w:sz w:val="24"/>
          <w:szCs w:val="24"/>
          <w:shd w:val="clear" w:fill="FFFFFF"/>
        </w:rPr>
        <w:t>一、招标人名称：</w:t>
      </w:r>
      <w:r>
        <w:rPr>
          <w:rFonts w:hint="eastAsia" w:ascii="仿宋" w:hAnsi="仿宋" w:eastAsia="仿宋" w:cs="仿宋"/>
          <w:color w:val="auto"/>
          <w:sz w:val="24"/>
          <w:szCs w:val="24"/>
          <w:highlight w:val="none"/>
          <w:lang w:eastAsia="zh-CN"/>
        </w:rPr>
        <w:t>浙江安吉农村商业银行股份有限公司</w:t>
      </w:r>
    </w:p>
    <w:p w14:paraId="71267253">
      <w:pPr>
        <w:pStyle w:val="3"/>
        <w:keepNext w:val="0"/>
        <w:keepLines w:val="0"/>
        <w:widowControl/>
        <w:suppressLineNumbers w:val="0"/>
        <w:spacing w:line="240" w:lineRule="auto"/>
        <w:ind w:left="0" w:firstLine="480"/>
        <w:jc w:val="both"/>
        <w:rPr>
          <w:rFonts w:hint="eastAsia" w:eastAsia="仿宋"/>
          <w:lang w:eastAsia="zh-CN"/>
        </w:rPr>
      </w:pPr>
      <w:r>
        <w:rPr>
          <w:rFonts w:hint="eastAsia" w:ascii="仿宋" w:hAnsi="仿宋" w:eastAsia="仿宋" w:cs="仿宋"/>
          <w:color w:val="000000"/>
          <w:sz w:val="24"/>
          <w:szCs w:val="24"/>
          <w:shd w:val="clear" w:fill="FFFFFF"/>
        </w:rPr>
        <w:t>二、项目名称：</w:t>
      </w:r>
      <w:r>
        <w:rPr>
          <w:rFonts w:hint="eastAsia" w:ascii="仿宋" w:hAnsi="仿宋" w:eastAsia="仿宋" w:cs="仿宋"/>
          <w:color w:val="000000"/>
          <w:sz w:val="24"/>
          <w:szCs w:val="24"/>
          <w:shd w:val="clear" w:fill="FFFFFF"/>
          <w:lang w:eastAsia="zh-CN"/>
        </w:rPr>
        <w:t>2025年安吉农商银行总行顶楼logo及部分网点门头维修改造</w:t>
      </w:r>
    </w:p>
    <w:p w14:paraId="195CB4F3">
      <w:pPr>
        <w:pStyle w:val="3"/>
        <w:keepNext w:val="0"/>
        <w:keepLines w:val="0"/>
        <w:widowControl/>
        <w:suppressLineNumbers w:val="0"/>
        <w:spacing w:line="240" w:lineRule="auto"/>
        <w:ind w:left="0" w:firstLine="480"/>
        <w:jc w:val="both"/>
      </w:pPr>
      <w:r>
        <w:rPr>
          <w:rFonts w:hint="eastAsia" w:ascii="仿宋" w:hAnsi="仿宋" w:eastAsia="仿宋" w:cs="仿宋"/>
          <w:color w:val="000000"/>
          <w:sz w:val="24"/>
          <w:szCs w:val="24"/>
          <w:shd w:val="clear" w:fill="FFFFFF"/>
        </w:rPr>
        <w:t>三、项目编号：AJNSHDZCG-2025-</w:t>
      </w:r>
      <w:r>
        <w:rPr>
          <w:rFonts w:hint="eastAsia" w:ascii="仿宋" w:hAnsi="仿宋" w:eastAsia="仿宋" w:cs="仿宋"/>
          <w:color w:val="000000"/>
          <w:sz w:val="24"/>
          <w:szCs w:val="24"/>
          <w:shd w:val="clear" w:fill="FFFFFF"/>
          <w:lang w:val="en-US" w:eastAsia="zh-CN"/>
        </w:rPr>
        <w:t>46</w:t>
      </w:r>
      <w:r>
        <w:rPr>
          <w:rFonts w:hint="eastAsia" w:ascii="仿宋" w:hAnsi="仿宋" w:eastAsia="仿宋" w:cs="仿宋"/>
          <w:color w:val="000000"/>
          <w:sz w:val="24"/>
          <w:szCs w:val="24"/>
          <w:shd w:val="clear" w:fill="FFFFFF"/>
        </w:rPr>
        <w:t xml:space="preserve"> </w:t>
      </w:r>
    </w:p>
    <w:p w14:paraId="24046AC2">
      <w:pPr>
        <w:pStyle w:val="3"/>
        <w:keepNext w:val="0"/>
        <w:keepLines w:val="0"/>
        <w:widowControl/>
        <w:suppressLineNumbers w:val="0"/>
        <w:spacing w:line="240" w:lineRule="auto"/>
        <w:ind w:left="0" w:firstLine="480"/>
        <w:jc w:val="both"/>
        <w:rPr>
          <w:rFonts w:hint="eastAsia" w:eastAsia="仿宋"/>
          <w:lang w:eastAsia="zh-CN"/>
        </w:rPr>
      </w:pPr>
      <w:r>
        <w:rPr>
          <w:rFonts w:hint="eastAsia" w:ascii="仿宋" w:hAnsi="仿宋" w:eastAsia="仿宋" w:cs="仿宋"/>
          <w:color w:val="000000"/>
          <w:sz w:val="24"/>
          <w:szCs w:val="24"/>
          <w:shd w:val="clear" w:fill="FFFFFF"/>
        </w:rPr>
        <w:t>四、招标方式：</w:t>
      </w:r>
      <w:r>
        <w:rPr>
          <w:rFonts w:hint="eastAsia" w:ascii="仿宋" w:hAnsi="仿宋" w:eastAsia="仿宋" w:cs="仿宋"/>
          <w:color w:val="000000"/>
          <w:sz w:val="24"/>
          <w:szCs w:val="24"/>
          <w:shd w:val="clear" w:fill="FFFFFF"/>
          <w:lang w:eastAsia="zh-CN"/>
        </w:rPr>
        <w:t>公开招标（自行采购）</w:t>
      </w:r>
    </w:p>
    <w:p w14:paraId="47FB652C">
      <w:pPr>
        <w:pStyle w:val="3"/>
        <w:keepNext w:val="0"/>
        <w:keepLines w:val="0"/>
        <w:widowControl/>
        <w:suppressLineNumbers w:val="0"/>
        <w:spacing w:line="240" w:lineRule="auto"/>
        <w:ind w:left="0" w:firstLine="480"/>
        <w:jc w:val="both"/>
      </w:pPr>
      <w:r>
        <w:rPr>
          <w:rFonts w:hint="eastAsia" w:ascii="仿宋" w:hAnsi="仿宋" w:eastAsia="仿宋" w:cs="仿宋"/>
          <w:color w:val="000000"/>
          <w:sz w:val="24"/>
          <w:szCs w:val="24"/>
          <w:shd w:val="clear" w:fill="FFFFFF"/>
        </w:rPr>
        <w:t>五、招标公告发布日期：2025年</w:t>
      </w:r>
      <w:r>
        <w:rPr>
          <w:rFonts w:hint="eastAsia" w:ascii="仿宋" w:hAnsi="仿宋" w:eastAsia="仿宋" w:cs="仿宋"/>
          <w:color w:val="000000"/>
          <w:sz w:val="24"/>
          <w:szCs w:val="24"/>
          <w:shd w:val="clear" w:fill="FFFFFF"/>
          <w:lang w:val="en-US" w:eastAsia="zh-CN"/>
        </w:rPr>
        <w:t>11</w:t>
      </w:r>
      <w:r>
        <w:rPr>
          <w:rFonts w:hint="eastAsia" w:ascii="仿宋" w:hAnsi="仿宋" w:eastAsia="仿宋" w:cs="仿宋"/>
          <w:color w:val="000000"/>
          <w:sz w:val="24"/>
          <w:szCs w:val="24"/>
          <w:shd w:val="clear" w:fill="FFFFFF"/>
        </w:rPr>
        <w:t>月</w:t>
      </w:r>
      <w:r>
        <w:rPr>
          <w:rFonts w:hint="eastAsia" w:ascii="仿宋" w:hAnsi="仿宋" w:eastAsia="仿宋" w:cs="仿宋"/>
          <w:color w:val="000000"/>
          <w:sz w:val="24"/>
          <w:szCs w:val="24"/>
          <w:shd w:val="clear" w:fill="FFFFFF"/>
          <w:lang w:val="en-US" w:eastAsia="zh-CN"/>
        </w:rPr>
        <w:t>24</w:t>
      </w:r>
      <w:r>
        <w:rPr>
          <w:rFonts w:hint="eastAsia" w:ascii="仿宋" w:hAnsi="仿宋" w:eastAsia="仿宋" w:cs="仿宋"/>
          <w:color w:val="000000"/>
          <w:sz w:val="24"/>
          <w:szCs w:val="24"/>
          <w:shd w:val="clear" w:fill="FFFFFF"/>
        </w:rPr>
        <w:t>日</w:t>
      </w:r>
    </w:p>
    <w:p w14:paraId="44D70619">
      <w:pPr>
        <w:pStyle w:val="3"/>
        <w:keepNext w:val="0"/>
        <w:keepLines w:val="0"/>
        <w:widowControl/>
        <w:suppressLineNumbers w:val="0"/>
        <w:spacing w:line="240" w:lineRule="auto"/>
        <w:ind w:left="0" w:firstLine="480"/>
        <w:jc w:val="both"/>
        <w:rPr>
          <w:rFonts w:hint="eastAsia" w:ascii="仿宋" w:hAnsi="仿宋" w:eastAsia="仿宋" w:cs="仿宋"/>
          <w:color w:val="000000"/>
          <w:sz w:val="24"/>
          <w:szCs w:val="24"/>
          <w:shd w:val="clear" w:fill="FFFFFF"/>
        </w:rPr>
      </w:pPr>
      <w:r>
        <w:rPr>
          <w:rFonts w:hint="eastAsia" w:ascii="仿宋" w:hAnsi="仿宋" w:eastAsia="仿宋" w:cs="仿宋"/>
          <w:color w:val="000000"/>
          <w:sz w:val="24"/>
          <w:szCs w:val="24"/>
          <w:shd w:val="clear" w:fill="FFFFFF"/>
        </w:rPr>
        <w:t>六、定标日期：2025年</w:t>
      </w:r>
      <w:r>
        <w:rPr>
          <w:rFonts w:hint="eastAsia" w:ascii="仿宋" w:hAnsi="仿宋" w:eastAsia="仿宋" w:cs="仿宋"/>
          <w:color w:val="000000"/>
          <w:sz w:val="24"/>
          <w:szCs w:val="24"/>
          <w:shd w:val="clear" w:fill="FFFFFF"/>
          <w:lang w:val="en-US" w:eastAsia="zh-CN"/>
        </w:rPr>
        <w:t>12</w:t>
      </w:r>
      <w:r>
        <w:rPr>
          <w:rFonts w:hint="eastAsia" w:ascii="仿宋" w:hAnsi="仿宋" w:eastAsia="仿宋" w:cs="仿宋"/>
          <w:color w:val="000000"/>
          <w:sz w:val="24"/>
          <w:szCs w:val="24"/>
          <w:shd w:val="clear" w:fill="FFFFFF"/>
        </w:rPr>
        <w:t>月</w:t>
      </w:r>
      <w:r>
        <w:rPr>
          <w:rFonts w:hint="eastAsia" w:ascii="仿宋" w:hAnsi="仿宋" w:eastAsia="仿宋" w:cs="仿宋"/>
          <w:color w:val="000000"/>
          <w:sz w:val="24"/>
          <w:szCs w:val="24"/>
          <w:shd w:val="clear" w:fill="FFFFFF"/>
          <w:lang w:val="en-US" w:eastAsia="zh-CN"/>
        </w:rPr>
        <w:t>15</w:t>
      </w:r>
      <w:r>
        <w:rPr>
          <w:rFonts w:hint="eastAsia" w:ascii="仿宋" w:hAnsi="仿宋" w:eastAsia="仿宋" w:cs="仿宋"/>
          <w:color w:val="000000"/>
          <w:sz w:val="24"/>
          <w:szCs w:val="24"/>
          <w:shd w:val="clear" w:fill="FFFFFF"/>
        </w:rPr>
        <w:t>日</w:t>
      </w:r>
      <w:r>
        <w:rPr>
          <w:rFonts w:hint="eastAsia" w:ascii="仿宋" w:hAnsi="仿宋" w:eastAsia="仿宋" w:cs="仿宋"/>
          <w:color w:val="000000"/>
          <w:sz w:val="24"/>
          <w:szCs w:val="24"/>
          <w:shd w:val="clear" w:fill="FFFFFF"/>
          <w:lang w:eastAsia="zh-CN"/>
        </w:rPr>
        <w:t>下午</w:t>
      </w:r>
      <w:r>
        <w:rPr>
          <w:rFonts w:hint="eastAsia" w:ascii="仿宋" w:hAnsi="仿宋" w:eastAsia="仿宋" w:cs="仿宋"/>
          <w:color w:val="000000"/>
          <w:sz w:val="24"/>
          <w:szCs w:val="24"/>
          <w:shd w:val="clear" w:fill="FFFFFF"/>
          <w:lang w:val="en-US" w:eastAsia="zh-CN"/>
        </w:rPr>
        <w:t>14</w:t>
      </w:r>
      <w:r>
        <w:rPr>
          <w:rFonts w:hint="eastAsia" w:ascii="仿宋" w:hAnsi="仿宋" w:eastAsia="仿宋" w:cs="仿宋"/>
          <w:color w:val="000000"/>
          <w:sz w:val="24"/>
          <w:szCs w:val="24"/>
          <w:shd w:val="clear" w:fill="FFFFFF"/>
        </w:rPr>
        <w:t>:</w:t>
      </w:r>
      <w:r>
        <w:rPr>
          <w:rFonts w:hint="eastAsia" w:ascii="仿宋" w:hAnsi="仿宋" w:eastAsia="仿宋" w:cs="仿宋"/>
          <w:color w:val="000000"/>
          <w:sz w:val="24"/>
          <w:szCs w:val="24"/>
          <w:shd w:val="clear" w:fill="FFFFFF"/>
          <w:lang w:val="en-US" w:eastAsia="zh-CN"/>
        </w:rPr>
        <w:t>3</w:t>
      </w:r>
      <w:r>
        <w:rPr>
          <w:rFonts w:hint="eastAsia" w:ascii="仿宋" w:hAnsi="仿宋" w:eastAsia="仿宋" w:cs="仿宋"/>
          <w:color w:val="000000"/>
          <w:sz w:val="24"/>
          <w:szCs w:val="24"/>
          <w:shd w:val="clear" w:fill="FFFFFF"/>
        </w:rPr>
        <w:t>0时</w:t>
      </w:r>
    </w:p>
    <w:p w14:paraId="75613C86">
      <w:pPr>
        <w:pStyle w:val="3"/>
        <w:keepNext w:val="0"/>
        <w:keepLines w:val="0"/>
        <w:widowControl/>
        <w:suppressLineNumbers w:val="0"/>
        <w:spacing w:line="360" w:lineRule="auto"/>
        <w:ind w:left="0" w:firstLine="480"/>
        <w:jc w:val="both"/>
      </w:pPr>
      <w:r>
        <w:rPr>
          <w:rFonts w:hint="eastAsia" w:ascii="仿宋" w:hAnsi="仿宋" w:eastAsia="仿宋" w:cs="仿宋"/>
          <w:color w:val="000000"/>
          <w:sz w:val="24"/>
          <w:szCs w:val="24"/>
          <w:shd w:val="clear" w:fill="FFFFFF"/>
        </w:rPr>
        <w:t>七、中标、成交结果：</w:t>
      </w:r>
    </w:p>
    <w:tbl>
      <w:tblPr>
        <w:tblStyle w:val="4"/>
        <w:tblW w:w="12437"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1"/>
        <w:gridCol w:w="3428"/>
        <w:gridCol w:w="3475"/>
        <w:gridCol w:w="4363"/>
      </w:tblGrid>
      <w:tr w14:paraId="7F4F0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5" w:hRule="atLeast"/>
          <w:tblCellSpacing w:w="15" w:type="dxa"/>
        </w:trPr>
        <w:tc>
          <w:tcPr>
            <w:tcW w:w="1126" w:type="dxa"/>
            <w:tcBorders>
              <w:top w:val="single" w:color="DDDDDD" w:sz="6" w:space="0"/>
              <w:left w:val="single" w:color="DDDDDD" w:sz="6" w:space="0"/>
              <w:bottom w:val="single" w:color="DDDDDD" w:sz="6" w:space="0"/>
              <w:right w:val="single" w:color="DDDDDD" w:sz="6" w:space="0"/>
            </w:tcBorders>
            <w:shd w:val="clear" w:color="auto" w:fill="FFFFFF"/>
            <w:tcMar>
              <w:top w:w="0" w:type="dxa"/>
              <w:bottom w:w="0" w:type="dxa"/>
            </w:tcMar>
            <w:vAlign w:val="center"/>
          </w:tcPr>
          <w:p w14:paraId="30CF2924">
            <w:pPr>
              <w:pStyle w:val="3"/>
              <w:keepNext w:val="0"/>
              <w:keepLines w:val="0"/>
              <w:widowControl/>
              <w:suppressLineNumbers w:val="0"/>
              <w:spacing w:line="360" w:lineRule="auto"/>
              <w:ind w:left="0" w:firstLine="240"/>
              <w:jc w:val="both"/>
            </w:pPr>
            <w:r>
              <w:rPr>
                <w:rFonts w:hint="eastAsia" w:ascii="仿宋" w:hAnsi="仿宋" w:eastAsia="仿宋" w:cs="仿宋"/>
                <w:color w:val="000000"/>
                <w:sz w:val="24"/>
                <w:szCs w:val="24"/>
              </w:rPr>
              <w:t>序号</w:t>
            </w:r>
          </w:p>
        </w:tc>
        <w:tc>
          <w:tcPr>
            <w:tcW w:w="3398" w:type="dxa"/>
            <w:tcBorders>
              <w:top w:val="single" w:color="DDDDDD" w:sz="6" w:space="0"/>
              <w:left w:val="single" w:color="DDDDDD" w:sz="6" w:space="0"/>
              <w:bottom w:val="single" w:color="DDDDDD" w:sz="6" w:space="0"/>
              <w:right w:val="single" w:color="DDDDDD" w:sz="6" w:space="0"/>
            </w:tcBorders>
            <w:shd w:val="clear" w:color="auto" w:fill="FFFFFF"/>
            <w:tcMar>
              <w:top w:w="0" w:type="dxa"/>
              <w:bottom w:w="0" w:type="dxa"/>
            </w:tcMar>
            <w:vAlign w:val="center"/>
          </w:tcPr>
          <w:p w14:paraId="7FFE9B30">
            <w:pPr>
              <w:pStyle w:val="3"/>
              <w:keepNext w:val="0"/>
              <w:keepLines w:val="0"/>
              <w:widowControl/>
              <w:suppressLineNumbers w:val="0"/>
              <w:spacing w:line="360" w:lineRule="auto"/>
              <w:ind w:left="0" w:firstLine="1440"/>
              <w:jc w:val="both"/>
            </w:pPr>
            <w:r>
              <w:rPr>
                <w:rFonts w:hint="eastAsia" w:ascii="仿宋" w:hAnsi="仿宋" w:eastAsia="仿宋" w:cs="仿宋"/>
                <w:color w:val="000000"/>
                <w:sz w:val="24"/>
                <w:szCs w:val="24"/>
              </w:rPr>
              <w:t>内容</w:t>
            </w:r>
          </w:p>
        </w:tc>
        <w:tc>
          <w:tcPr>
            <w:tcW w:w="3445" w:type="dxa"/>
            <w:tcBorders>
              <w:top w:val="single" w:color="DDDDDD" w:sz="6" w:space="0"/>
              <w:left w:val="single" w:color="DDDDDD" w:sz="6" w:space="0"/>
              <w:bottom w:val="single" w:color="DDDDDD" w:sz="6" w:space="0"/>
              <w:right w:val="single" w:color="DDDDDD" w:sz="6" w:space="0"/>
            </w:tcBorders>
            <w:shd w:val="clear" w:color="auto" w:fill="FFFFFF"/>
            <w:tcMar>
              <w:top w:w="0" w:type="dxa"/>
              <w:bottom w:w="0" w:type="dxa"/>
            </w:tcMar>
            <w:vAlign w:val="center"/>
          </w:tcPr>
          <w:p w14:paraId="2C94F831">
            <w:pPr>
              <w:pStyle w:val="3"/>
              <w:keepNext w:val="0"/>
              <w:keepLines w:val="0"/>
              <w:widowControl/>
              <w:suppressLineNumbers w:val="0"/>
              <w:spacing w:line="360" w:lineRule="auto"/>
              <w:ind w:left="0" w:firstLine="960"/>
              <w:jc w:val="both"/>
            </w:pPr>
            <w:r>
              <w:rPr>
                <w:rFonts w:hint="eastAsia" w:ascii="仿宋" w:hAnsi="仿宋" w:eastAsia="仿宋" w:cs="仿宋"/>
                <w:color w:val="000000"/>
                <w:sz w:val="24"/>
                <w:szCs w:val="24"/>
              </w:rPr>
              <w:t>中标单位</w:t>
            </w:r>
          </w:p>
        </w:tc>
        <w:tc>
          <w:tcPr>
            <w:tcW w:w="4318" w:type="dxa"/>
            <w:tcBorders>
              <w:top w:val="single" w:color="DDDDDD" w:sz="6" w:space="0"/>
              <w:left w:val="single" w:color="DDDDDD" w:sz="6" w:space="0"/>
              <w:bottom w:val="single" w:color="DDDDDD" w:sz="6" w:space="0"/>
              <w:right w:val="single" w:color="DDDDDD" w:sz="6" w:space="0"/>
            </w:tcBorders>
            <w:shd w:val="clear" w:color="auto" w:fill="FFFFFF"/>
            <w:tcMar>
              <w:top w:w="0" w:type="dxa"/>
              <w:bottom w:w="0" w:type="dxa"/>
            </w:tcMar>
            <w:vAlign w:val="center"/>
          </w:tcPr>
          <w:p w14:paraId="42A95DDA">
            <w:pPr>
              <w:pStyle w:val="3"/>
              <w:keepNext w:val="0"/>
              <w:keepLines w:val="0"/>
              <w:widowControl/>
              <w:suppressLineNumbers w:val="0"/>
              <w:spacing w:line="360" w:lineRule="auto"/>
              <w:ind w:left="0" w:firstLine="1440"/>
              <w:jc w:val="both"/>
            </w:pPr>
            <w:r>
              <w:rPr>
                <w:rFonts w:hint="eastAsia" w:ascii="仿宋" w:hAnsi="仿宋" w:eastAsia="仿宋" w:cs="仿宋"/>
                <w:color w:val="000000"/>
                <w:sz w:val="24"/>
                <w:szCs w:val="24"/>
              </w:rPr>
              <w:t>中标</w:t>
            </w:r>
            <w:r>
              <w:rPr>
                <w:rFonts w:hint="eastAsia" w:ascii="仿宋" w:hAnsi="仿宋" w:eastAsia="仿宋" w:cs="仿宋"/>
                <w:color w:val="000000"/>
                <w:sz w:val="24"/>
                <w:szCs w:val="24"/>
                <w:lang w:eastAsia="zh-CN"/>
              </w:rPr>
              <w:t>折扣率</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w:t>
            </w:r>
          </w:p>
        </w:tc>
      </w:tr>
      <w:tr w14:paraId="3D543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35" w:hRule="atLeast"/>
          <w:tblCellSpacing w:w="15" w:type="dxa"/>
        </w:trPr>
        <w:tc>
          <w:tcPr>
            <w:tcW w:w="1126" w:type="dxa"/>
            <w:tcBorders>
              <w:top w:val="single" w:color="DDDDDD" w:sz="6" w:space="0"/>
              <w:left w:val="single" w:color="DDDDDD" w:sz="6" w:space="0"/>
              <w:bottom w:val="single" w:color="DDDDDD" w:sz="6" w:space="0"/>
              <w:right w:val="single" w:color="DDDDDD" w:sz="6" w:space="0"/>
            </w:tcBorders>
            <w:shd w:val="clear" w:color="auto" w:fill="FFFFFF"/>
            <w:tcMar>
              <w:top w:w="0" w:type="dxa"/>
              <w:bottom w:w="0" w:type="dxa"/>
            </w:tcMar>
            <w:vAlign w:val="center"/>
          </w:tcPr>
          <w:p w14:paraId="59F950E0">
            <w:pPr>
              <w:pStyle w:val="3"/>
              <w:keepNext w:val="0"/>
              <w:keepLines w:val="0"/>
              <w:widowControl/>
              <w:suppressLineNumbers w:val="0"/>
              <w:spacing w:line="360" w:lineRule="auto"/>
              <w:ind w:left="0" w:firstLine="480"/>
              <w:jc w:val="both"/>
            </w:pPr>
            <w:r>
              <w:rPr>
                <w:rFonts w:hint="eastAsia" w:ascii="仿宋" w:hAnsi="仿宋" w:eastAsia="仿宋" w:cs="仿宋"/>
                <w:color w:val="000000"/>
                <w:sz w:val="24"/>
                <w:szCs w:val="24"/>
              </w:rPr>
              <w:t>1</w:t>
            </w:r>
          </w:p>
        </w:tc>
        <w:tc>
          <w:tcPr>
            <w:tcW w:w="3398" w:type="dxa"/>
            <w:tcBorders>
              <w:top w:val="single" w:color="DDDDDD" w:sz="6" w:space="0"/>
              <w:left w:val="single" w:color="DDDDDD" w:sz="6" w:space="0"/>
              <w:bottom w:val="single" w:color="DDDDDD" w:sz="6" w:space="0"/>
              <w:right w:val="single" w:color="DDDDDD" w:sz="6" w:space="0"/>
            </w:tcBorders>
            <w:shd w:val="clear" w:color="auto" w:fill="FFFFFF"/>
            <w:tcMar>
              <w:top w:w="0" w:type="dxa"/>
              <w:bottom w:w="0" w:type="dxa"/>
            </w:tcMar>
            <w:vAlign w:val="center"/>
          </w:tcPr>
          <w:p w14:paraId="777CB357">
            <w:pPr>
              <w:pStyle w:val="3"/>
              <w:keepNext w:val="0"/>
              <w:keepLines w:val="0"/>
              <w:widowControl/>
              <w:suppressLineNumbers w:val="0"/>
              <w:spacing w:line="360" w:lineRule="auto"/>
              <w:jc w:val="both"/>
              <w:rPr>
                <w:rFonts w:hint="eastAsia" w:ascii="仿宋" w:hAnsi="仿宋" w:eastAsia="仿宋" w:cs="仿宋"/>
                <w:color w:val="000000"/>
                <w:sz w:val="24"/>
                <w:szCs w:val="24"/>
                <w:shd w:val="clear" w:fill="FFFFFF"/>
                <w:lang w:eastAsia="zh-CN"/>
              </w:rPr>
            </w:pPr>
            <w:r>
              <w:rPr>
                <w:rFonts w:hint="eastAsia" w:ascii="仿宋" w:hAnsi="仿宋" w:eastAsia="仿宋" w:cs="仿宋"/>
                <w:color w:val="000000"/>
                <w:sz w:val="24"/>
                <w:szCs w:val="24"/>
                <w:shd w:val="clear" w:fill="FFFFFF"/>
                <w:lang w:eastAsia="zh-CN"/>
              </w:rPr>
              <w:t>2025年安吉农商银行总行顶楼logo及部分网点门头维修改造</w:t>
            </w:r>
          </w:p>
        </w:tc>
        <w:tc>
          <w:tcPr>
            <w:tcW w:w="3445" w:type="dxa"/>
            <w:tcBorders>
              <w:top w:val="single" w:color="DDDDDD" w:sz="6" w:space="0"/>
              <w:left w:val="single" w:color="DDDDDD" w:sz="6" w:space="0"/>
              <w:bottom w:val="single" w:color="DDDDDD" w:sz="6" w:space="0"/>
              <w:right w:val="single" w:color="DDDDDD" w:sz="6" w:space="0"/>
            </w:tcBorders>
            <w:shd w:val="clear" w:color="auto" w:fill="FFFFFF"/>
            <w:tcMar>
              <w:top w:w="0" w:type="dxa"/>
              <w:bottom w:w="0" w:type="dxa"/>
            </w:tcMar>
            <w:vAlign w:val="center"/>
          </w:tcPr>
          <w:p w14:paraId="0FAC6835">
            <w:pPr>
              <w:pStyle w:val="3"/>
              <w:keepNext w:val="0"/>
              <w:keepLines w:val="0"/>
              <w:widowControl/>
              <w:suppressLineNumbers w:val="0"/>
              <w:spacing w:line="360" w:lineRule="auto"/>
              <w:jc w:val="center"/>
              <w:rPr>
                <w:rFonts w:hint="eastAsia" w:ascii="仿宋" w:hAnsi="仿宋" w:eastAsia="仿宋" w:cs="仿宋"/>
                <w:color w:val="000000"/>
                <w:sz w:val="24"/>
                <w:szCs w:val="24"/>
                <w:shd w:val="clear" w:fill="FFFFFF"/>
                <w:lang w:eastAsia="zh-CN"/>
              </w:rPr>
            </w:pPr>
            <w:r>
              <w:rPr>
                <w:rFonts w:hint="eastAsia" w:ascii="仿宋" w:hAnsi="仿宋" w:eastAsia="仿宋" w:cs="仿宋"/>
                <w:color w:val="000000"/>
                <w:sz w:val="24"/>
                <w:szCs w:val="24"/>
                <w:shd w:val="clear" w:fill="FFFFFF"/>
                <w:lang w:eastAsia="zh-CN"/>
              </w:rPr>
              <w:t>浙江安吉庆合建设有限公司</w:t>
            </w:r>
          </w:p>
        </w:tc>
        <w:tc>
          <w:tcPr>
            <w:tcW w:w="4318" w:type="dxa"/>
            <w:tcBorders>
              <w:top w:val="single" w:color="DDDDDD" w:sz="6" w:space="0"/>
              <w:left w:val="single" w:color="DDDDDD" w:sz="6" w:space="0"/>
              <w:right w:val="single" w:color="DDDDDD" w:sz="6" w:space="0"/>
            </w:tcBorders>
            <w:shd w:val="clear" w:color="auto" w:fill="FFFFFF"/>
            <w:tcMar>
              <w:top w:w="0" w:type="dxa"/>
              <w:bottom w:w="0" w:type="dxa"/>
            </w:tcMar>
            <w:vAlign w:val="center"/>
          </w:tcPr>
          <w:p w14:paraId="23F43711">
            <w:pPr>
              <w:pStyle w:val="3"/>
              <w:keepNext w:val="0"/>
              <w:keepLines w:val="0"/>
              <w:widowControl/>
              <w:suppressLineNumbers w:val="0"/>
              <w:spacing w:line="360" w:lineRule="auto"/>
              <w:jc w:val="center"/>
              <w:rPr>
                <w:rFonts w:hint="default" w:ascii="仿宋" w:hAnsi="仿宋" w:eastAsia="仿宋" w:cs="仿宋"/>
                <w:color w:val="000000"/>
                <w:sz w:val="24"/>
                <w:szCs w:val="24"/>
                <w:shd w:val="clear" w:fill="FFFFFF"/>
                <w:lang w:val="en-US" w:eastAsia="zh-CN"/>
              </w:rPr>
            </w:pPr>
            <w:r>
              <w:rPr>
                <w:rFonts w:hint="eastAsia" w:ascii="仿宋" w:hAnsi="仿宋" w:eastAsia="仿宋" w:cs="仿宋"/>
                <w:color w:val="000000"/>
                <w:sz w:val="24"/>
                <w:szCs w:val="24"/>
                <w:shd w:val="clear" w:fill="FFFFFF"/>
                <w:lang w:val="en-US" w:eastAsia="zh-CN"/>
              </w:rPr>
              <w:t>79.2%</w:t>
            </w:r>
            <w:bookmarkStart w:id="0" w:name="_GoBack"/>
            <w:bookmarkEnd w:id="0"/>
          </w:p>
        </w:tc>
      </w:tr>
    </w:tbl>
    <w:p w14:paraId="24E04160">
      <w:pPr>
        <w:pStyle w:val="3"/>
        <w:keepNext w:val="0"/>
        <w:keepLines w:val="0"/>
        <w:pageBreakBefore w:val="0"/>
        <w:widowControl/>
        <w:suppressLineNumbers w:val="0"/>
        <w:kinsoku/>
        <w:wordWrap/>
        <w:overflowPunct/>
        <w:topLinePunct w:val="0"/>
        <w:autoSpaceDE/>
        <w:autoSpaceDN/>
        <w:bidi w:val="0"/>
        <w:adjustRightInd/>
        <w:snapToGrid/>
        <w:spacing w:line="0" w:lineRule="atLeast"/>
        <w:ind w:left="0" w:firstLine="482"/>
        <w:jc w:val="both"/>
        <w:textAlignment w:val="auto"/>
      </w:pPr>
      <w:r>
        <w:rPr>
          <w:rFonts w:hint="eastAsia" w:ascii="仿宋" w:hAnsi="仿宋" w:eastAsia="仿宋" w:cs="仿宋"/>
          <w:color w:val="000000"/>
          <w:sz w:val="24"/>
          <w:szCs w:val="24"/>
          <w:shd w:val="clear" w:fill="FFFFFF"/>
        </w:rPr>
        <w:t>八、其他事项：</w:t>
      </w:r>
    </w:p>
    <w:p w14:paraId="6E4D5754">
      <w:pPr>
        <w:pStyle w:val="3"/>
        <w:keepNext w:val="0"/>
        <w:keepLines w:val="0"/>
        <w:widowControl/>
        <w:suppressLineNumbers w:val="0"/>
        <w:spacing w:line="360" w:lineRule="auto"/>
        <w:ind w:left="0" w:firstLine="480"/>
        <w:jc w:val="both"/>
        <w:rPr>
          <w:rFonts w:hint="eastAsia" w:ascii="仿宋" w:hAnsi="仿宋" w:eastAsia="仿宋" w:cs="仿宋"/>
          <w:color w:val="000000"/>
          <w:sz w:val="24"/>
          <w:szCs w:val="24"/>
          <w:shd w:val="clear" w:fill="FFFFFF"/>
        </w:rPr>
      </w:pPr>
      <w:r>
        <w:rPr>
          <w:rFonts w:hint="eastAsia" w:ascii="仿宋" w:hAnsi="仿宋" w:eastAsia="仿宋" w:cs="仿宋"/>
          <w:color w:val="000000"/>
          <w:sz w:val="24"/>
          <w:szCs w:val="24"/>
          <w:shd w:val="clear" w:fill="FFFFFF"/>
        </w:rPr>
        <w:t>各参加采购活动的供应商认为该成交结果和采购过程等使自己的权益受到损害的，可以自本公告期限届满之日（自本公告发布之日起至第2个工作日止）起7个工作日内，以书面形式向采购人提出质疑。质疑供应商对采购人、采购代理机构的答复不满意或者采购人、采购代理机构未在规定的时间内作出答复的，可以再答复期满后十五个工作日内向同级采购监督管理部门投诉。</w:t>
      </w:r>
    </w:p>
    <w:p w14:paraId="1695CA1D">
      <w:pPr>
        <w:pStyle w:val="3"/>
        <w:keepNext w:val="0"/>
        <w:keepLines w:val="0"/>
        <w:widowControl/>
        <w:numPr>
          <w:ilvl w:val="0"/>
          <w:numId w:val="1"/>
        </w:numPr>
        <w:suppressLineNumbers w:val="0"/>
        <w:spacing w:line="240" w:lineRule="auto"/>
        <w:ind w:left="0" w:firstLine="480"/>
        <w:jc w:val="both"/>
        <w:rPr>
          <w:rFonts w:hint="eastAsia" w:ascii="仿宋" w:hAnsi="仿宋" w:eastAsia="仿宋" w:cs="仿宋"/>
          <w:color w:val="000000"/>
          <w:sz w:val="24"/>
          <w:szCs w:val="24"/>
          <w:shd w:val="clear" w:fill="FFFFFF"/>
        </w:rPr>
      </w:pPr>
      <w:r>
        <w:rPr>
          <w:rFonts w:hint="eastAsia" w:ascii="仿宋" w:hAnsi="仿宋" w:eastAsia="仿宋" w:cs="仿宋"/>
          <w:color w:val="000000"/>
          <w:sz w:val="24"/>
          <w:szCs w:val="24"/>
          <w:shd w:val="clear" w:fill="FFFFFF"/>
        </w:rPr>
        <w:t>采购人、招标代理机构、监管部门、采购平台联系方式：</w:t>
      </w:r>
    </w:p>
    <w:p w14:paraId="7B53C287">
      <w:pPr>
        <w:pStyle w:val="3"/>
        <w:keepNext w:val="0"/>
        <w:keepLines w:val="0"/>
        <w:widowControl/>
        <w:numPr>
          <w:numId w:val="0"/>
        </w:numPr>
        <w:suppressLineNumbers w:val="0"/>
        <w:spacing w:line="240" w:lineRule="auto"/>
        <w:ind w:left="480" w:leftChars="0" w:right="0" w:rightChars="0"/>
        <w:jc w:val="both"/>
        <w:rPr>
          <w:rFonts w:hint="eastAsia" w:ascii="仿宋" w:hAnsi="仿宋" w:eastAsia="仿宋" w:cs="仿宋"/>
          <w:color w:val="000000"/>
          <w:sz w:val="24"/>
          <w:szCs w:val="24"/>
          <w:shd w:val="clear" w:fill="FFFFFF"/>
        </w:rPr>
      </w:pPr>
      <w:r>
        <w:rPr>
          <w:rFonts w:hint="eastAsia" w:ascii="仿宋" w:hAnsi="仿宋" w:eastAsia="仿宋" w:cs="仿宋"/>
          <w:color w:val="000000"/>
          <w:sz w:val="24"/>
          <w:szCs w:val="24"/>
          <w:shd w:val="clear" w:fill="FFFFFF"/>
        </w:rPr>
        <w:t>1、采购人：浙江安吉农村商业银行股份有限公司</w:t>
      </w:r>
    </w:p>
    <w:p w14:paraId="5C3846E1">
      <w:pPr>
        <w:pStyle w:val="3"/>
        <w:keepNext w:val="0"/>
        <w:keepLines w:val="0"/>
        <w:widowControl/>
        <w:suppressLineNumbers w:val="0"/>
        <w:spacing w:line="240" w:lineRule="auto"/>
        <w:ind w:left="0" w:firstLine="480"/>
        <w:jc w:val="both"/>
        <w:rPr>
          <w:rFonts w:hint="eastAsia" w:ascii="仿宋" w:hAnsi="仿宋" w:eastAsia="仿宋" w:cs="仿宋"/>
          <w:color w:val="000000"/>
          <w:sz w:val="24"/>
          <w:szCs w:val="24"/>
          <w:shd w:val="clear" w:fill="FFFFFF"/>
        </w:rPr>
      </w:pPr>
      <w:r>
        <w:rPr>
          <w:rFonts w:hint="eastAsia" w:ascii="仿宋" w:hAnsi="仿宋" w:eastAsia="仿宋" w:cs="仿宋"/>
          <w:color w:val="000000"/>
          <w:sz w:val="24"/>
          <w:szCs w:val="24"/>
          <w:shd w:val="clear" w:fill="FFFFFF"/>
        </w:rPr>
        <w:t xml:space="preserve">联系人：薛女士          联系电话：15167217535 </w:t>
      </w:r>
    </w:p>
    <w:p w14:paraId="3D310C06">
      <w:pPr>
        <w:pStyle w:val="3"/>
        <w:keepNext w:val="0"/>
        <w:keepLines w:val="0"/>
        <w:widowControl/>
        <w:suppressLineNumbers w:val="0"/>
        <w:spacing w:line="240" w:lineRule="auto"/>
        <w:ind w:left="0" w:firstLine="480"/>
        <w:jc w:val="both"/>
        <w:rPr>
          <w:rFonts w:hint="eastAsia" w:ascii="仿宋" w:hAnsi="仿宋" w:eastAsia="仿宋" w:cs="仿宋"/>
          <w:color w:val="000000"/>
          <w:sz w:val="24"/>
          <w:szCs w:val="24"/>
          <w:shd w:val="clear" w:fill="FFFFFF"/>
        </w:rPr>
      </w:pPr>
      <w:r>
        <w:rPr>
          <w:rFonts w:hint="eastAsia" w:ascii="仿宋" w:hAnsi="仿宋" w:eastAsia="仿宋" w:cs="仿宋"/>
          <w:color w:val="000000"/>
          <w:sz w:val="24"/>
          <w:szCs w:val="24"/>
          <w:shd w:val="clear" w:fill="FFFFFF"/>
        </w:rPr>
        <w:t>联系人：朱先生          联系电话：18857254867</w:t>
      </w:r>
    </w:p>
    <w:p w14:paraId="4EE2B0D9">
      <w:pPr>
        <w:pStyle w:val="3"/>
        <w:keepNext w:val="0"/>
        <w:keepLines w:val="0"/>
        <w:widowControl/>
        <w:suppressLineNumbers w:val="0"/>
        <w:spacing w:line="240" w:lineRule="auto"/>
        <w:ind w:left="0" w:firstLine="480"/>
        <w:jc w:val="both"/>
        <w:rPr>
          <w:rFonts w:hint="eastAsia" w:ascii="仿宋" w:hAnsi="仿宋" w:eastAsia="仿宋" w:cs="仿宋"/>
          <w:color w:val="000000"/>
          <w:sz w:val="24"/>
          <w:szCs w:val="24"/>
          <w:shd w:val="clear" w:fill="FFFFFF"/>
        </w:rPr>
      </w:pPr>
      <w:r>
        <w:rPr>
          <w:rFonts w:hint="eastAsia" w:ascii="仿宋" w:hAnsi="仿宋" w:eastAsia="仿宋" w:cs="仿宋"/>
          <w:color w:val="000000"/>
          <w:sz w:val="24"/>
          <w:szCs w:val="24"/>
          <w:shd w:val="clear" w:fill="FFFFFF"/>
        </w:rPr>
        <w:t>2、采购代理机构：湖州江南工程管理有限公司</w:t>
      </w:r>
    </w:p>
    <w:p w14:paraId="313C088D">
      <w:pPr>
        <w:pStyle w:val="3"/>
        <w:keepNext w:val="0"/>
        <w:keepLines w:val="0"/>
        <w:widowControl/>
        <w:suppressLineNumbers w:val="0"/>
        <w:spacing w:line="240" w:lineRule="auto"/>
        <w:ind w:left="0" w:firstLine="480"/>
        <w:jc w:val="both"/>
        <w:rPr>
          <w:rFonts w:hint="eastAsia" w:ascii="仿宋" w:hAnsi="仿宋" w:eastAsia="仿宋" w:cs="仿宋"/>
          <w:color w:val="000000"/>
          <w:sz w:val="24"/>
          <w:szCs w:val="24"/>
          <w:shd w:val="clear" w:fill="FFFFFF"/>
        </w:rPr>
      </w:pPr>
      <w:r>
        <w:rPr>
          <w:rFonts w:hint="eastAsia" w:ascii="仿宋" w:hAnsi="仿宋" w:eastAsia="仿宋" w:cs="仿宋"/>
          <w:color w:val="000000"/>
          <w:sz w:val="24"/>
          <w:szCs w:val="24"/>
          <w:shd w:val="clear" w:fill="FFFFFF"/>
        </w:rPr>
        <w:t>联系人：曾先生          联系电话：0572-5076515/13017902883</w:t>
      </w:r>
    </w:p>
    <w:p w14:paraId="4633E172">
      <w:pPr>
        <w:pStyle w:val="3"/>
        <w:keepNext w:val="0"/>
        <w:keepLines w:val="0"/>
        <w:widowControl/>
        <w:suppressLineNumbers w:val="0"/>
        <w:spacing w:line="240" w:lineRule="auto"/>
        <w:ind w:left="0" w:firstLine="480"/>
        <w:jc w:val="both"/>
        <w:rPr>
          <w:rFonts w:hint="eastAsia" w:ascii="仿宋" w:hAnsi="仿宋" w:eastAsia="仿宋" w:cs="仿宋"/>
          <w:color w:val="000000"/>
          <w:sz w:val="24"/>
          <w:szCs w:val="24"/>
          <w:shd w:val="clear" w:fill="FFFFFF"/>
        </w:rPr>
      </w:pPr>
      <w:r>
        <w:rPr>
          <w:rFonts w:hint="eastAsia" w:ascii="仿宋" w:hAnsi="仿宋" w:eastAsia="仿宋" w:cs="仿宋"/>
          <w:color w:val="000000"/>
          <w:sz w:val="24"/>
          <w:szCs w:val="24"/>
          <w:shd w:val="clear" w:fill="FFFFFF"/>
        </w:rPr>
        <w:t>3、采购监管及投诉受理部门：纪检办      联系电话：0572-5024259</w:t>
      </w:r>
    </w:p>
    <w:p w14:paraId="3A2B12F6">
      <w:pPr>
        <w:pStyle w:val="3"/>
        <w:keepNext w:val="0"/>
        <w:keepLines w:val="0"/>
        <w:widowControl/>
        <w:suppressLineNumbers w:val="0"/>
        <w:spacing w:line="240" w:lineRule="auto"/>
        <w:ind w:left="0" w:firstLine="480"/>
        <w:jc w:val="both"/>
        <w:rPr>
          <w:rFonts w:hint="eastAsia"/>
        </w:rPr>
      </w:pPr>
      <w:r>
        <w:rPr>
          <w:rFonts w:hint="eastAsia" w:ascii="仿宋" w:hAnsi="仿宋" w:eastAsia="仿宋" w:cs="仿宋"/>
          <w:color w:val="000000"/>
          <w:sz w:val="24"/>
          <w:szCs w:val="24"/>
          <w:shd w:val="clear" w:fill="FFFFFF"/>
        </w:rPr>
        <w:t>地址：安吉县昌硕街道昌硕东路1号15楼</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61F60"/>
    <w:multiLevelType w:val="singleLevel"/>
    <w:tmpl w:val="87D61F60"/>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D36576"/>
    <w:rsid w:val="0DAC3B64"/>
    <w:rsid w:val="15013ADB"/>
    <w:rsid w:val="16D702AE"/>
    <w:rsid w:val="24E30CCB"/>
    <w:rsid w:val="5ED36576"/>
    <w:rsid w:val="6AD76C7D"/>
    <w:rsid w:val="7D3F0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autoSpaceDE w:val="0"/>
      <w:autoSpaceDN w:val="0"/>
      <w:adjustRightInd w:val="0"/>
      <w:spacing w:before="280" w:after="290" w:line="376" w:lineRule="atLeast"/>
      <w:jc w:val="left"/>
      <w:textAlignment w:val="baseline"/>
      <w:outlineLvl w:val="3"/>
    </w:pPr>
    <w:rPr>
      <w:rFonts w:ascii="黑体" w:hAnsi="黑体" w:eastAsia="黑体"/>
      <w:b/>
      <w:kern w:val="0"/>
      <w:sz w:val="28"/>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qFormat/>
    <w:uiPriority w:val="0"/>
    <w:rPr>
      <w:color w:val="333333"/>
      <w:u w:val="none"/>
    </w:rPr>
  </w:style>
  <w:style w:type="character" w:styleId="7">
    <w:name w:val="HTML Definition"/>
    <w:basedOn w:val="5"/>
    <w:qFormat/>
    <w:uiPriority w:val="0"/>
  </w:style>
  <w:style w:type="character" w:styleId="8">
    <w:name w:val="HTML Typewriter"/>
    <w:basedOn w:val="5"/>
    <w:qFormat/>
    <w:uiPriority w:val="0"/>
    <w:rPr>
      <w:rFonts w:hint="default" w:ascii="monospace" w:hAnsi="monospace" w:eastAsia="monospace" w:cs="monospace"/>
      <w:sz w:val="20"/>
    </w:rPr>
  </w:style>
  <w:style w:type="character" w:styleId="9">
    <w:name w:val="HTML Acronym"/>
    <w:basedOn w:val="5"/>
    <w:qFormat/>
    <w:uiPriority w:val="0"/>
  </w:style>
  <w:style w:type="character" w:styleId="10">
    <w:name w:val="HTML Variable"/>
    <w:basedOn w:val="5"/>
    <w:qFormat/>
    <w:uiPriority w:val="0"/>
  </w:style>
  <w:style w:type="character" w:styleId="11">
    <w:name w:val="Hyperlink"/>
    <w:basedOn w:val="5"/>
    <w:qFormat/>
    <w:uiPriority w:val="0"/>
    <w:rPr>
      <w:color w:val="333333"/>
      <w:u w:val="none"/>
    </w:rPr>
  </w:style>
  <w:style w:type="character" w:styleId="12">
    <w:name w:val="HTML Code"/>
    <w:basedOn w:val="5"/>
    <w:qFormat/>
    <w:uiPriority w:val="0"/>
    <w:rPr>
      <w:rFonts w:hint="default" w:ascii="monospace" w:hAnsi="monospace" w:eastAsia="monospace" w:cs="monospace"/>
      <w:sz w:val="20"/>
    </w:rPr>
  </w:style>
  <w:style w:type="character" w:styleId="13">
    <w:name w:val="HTML Cite"/>
    <w:basedOn w:val="5"/>
    <w:qFormat/>
    <w:uiPriority w:val="0"/>
  </w:style>
  <w:style w:type="character" w:styleId="14">
    <w:name w:val="HTML Keyboard"/>
    <w:basedOn w:val="5"/>
    <w:qFormat/>
    <w:uiPriority w:val="0"/>
    <w:rPr>
      <w:rFonts w:ascii="monospace" w:hAnsi="monospace" w:eastAsia="monospace" w:cs="monospace"/>
      <w:sz w:val="20"/>
    </w:rPr>
  </w:style>
  <w:style w:type="character" w:styleId="15">
    <w:name w:val="HTML Sample"/>
    <w:basedOn w:val="5"/>
    <w:qFormat/>
    <w:uiPriority w:val="0"/>
    <w:rPr>
      <w:rFonts w:hint="default" w:ascii="monospace" w:hAnsi="monospace" w:eastAsia="monospace" w:cs="monospace"/>
    </w:rPr>
  </w:style>
  <w:style w:type="character" w:customStyle="1" w:styleId="16">
    <w:name w:val="hover11"/>
    <w:basedOn w:val="5"/>
    <w:qFormat/>
    <w:uiPriority w:val="0"/>
    <w:rPr>
      <w:color w:val="5FB878"/>
    </w:rPr>
  </w:style>
  <w:style w:type="character" w:customStyle="1" w:styleId="17">
    <w:name w:val="hover12"/>
    <w:basedOn w:val="5"/>
    <w:qFormat/>
    <w:uiPriority w:val="0"/>
    <w:rPr>
      <w:color w:val="5FB878"/>
    </w:rPr>
  </w:style>
  <w:style w:type="character" w:customStyle="1" w:styleId="18">
    <w:name w:val="hover13"/>
    <w:basedOn w:val="5"/>
    <w:qFormat/>
    <w:uiPriority w:val="0"/>
    <w:rPr>
      <w:color w:val="FFFFFF"/>
    </w:rPr>
  </w:style>
  <w:style w:type="character" w:customStyle="1" w:styleId="19">
    <w:name w:val="first-child"/>
    <w:basedOn w:val="5"/>
    <w:qFormat/>
    <w:uiPriority w:val="0"/>
  </w:style>
  <w:style w:type="character" w:customStyle="1" w:styleId="20">
    <w:name w:val="layui-this4"/>
    <w:basedOn w:val="5"/>
    <w:qFormat/>
    <w:uiPriority w:val="0"/>
    <w:rPr>
      <w:bdr w:val="single" w:color="EEEEEE" w:sz="6" w:space="0"/>
      <w:shd w:val="clear" w:fill="FFFFFF"/>
    </w:rPr>
  </w:style>
  <w:style w:type="character" w:customStyle="1" w:styleId="21">
    <w:name w:val="layui-laypage-cur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505</Words>
  <Characters>582</Characters>
  <Lines>0</Lines>
  <Paragraphs>0</Paragraphs>
  <TotalTime>0</TotalTime>
  <ScaleCrop>false</ScaleCrop>
  <LinksUpToDate>false</LinksUpToDate>
  <CharactersWithSpaces>610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2025-07-08T01:00:00Z</dcterms:created>
  <dc:creator>only。</dc:creator>
  <cp:lastModifiedBy>only。</cp:lastModifiedBy>
  <dcterms:modified xsi:type="dcterms:W3CDTF">2025-12-16T04:23:19Z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A88B6049890942269E9EF9E56CED6088_13</vt:lpwstr>
  </property>
  <property fmtid="{D5CDD505-2E9C-101B-9397-08002B2CF9AE}" pid="4" name="KSOTemplateDocerSaveRecord">
    <vt:lpwstr>eyJoZGlkIjoiZjRjMTgxOWIyNjQyZWQ3Zjc4MzE5NzQzZjJmY2M4YTUiLCJ1c2VySWQiOiI0MjEyNTkxNzcifQ==</vt:lpwstr>
  </property>
</Properties>
</file>